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79463" w14:textId="77777777" w:rsidR="00C26BA9" w:rsidRPr="00C26BA9" w:rsidRDefault="00C26BA9" w:rsidP="00C26BA9">
      <w:pPr>
        <w:spacing w:line="276" w:lineRule="auto"/>
        <w:jc w:val="center"/>
        <w:rPr>
          <w:rFonts w:eastAsia="MS Mincho" w:cs="Arial"/>
          <w:b/>
          <w:sz w:val="24"/>
          <w:u w:val="single"/>
        </w:rPr>
      </w:pPr>
      <w:bookmarkStart w:id="0" w:name="_GoBack"/>
      <w:bookmarkEnd w:id="0"/>
    </w:p>
    <w:p w14:paraId="1C5485CA" w14:textId="77777777" w:rsidR="00C26BA9" w:rsidRDefault="00C26BA9" w:rsidP="00C26BA9">
      <w:pPr>
        <w:spacing w:line="276" w:lineRule="auto"/>
        <w:jc w:val="center"/>
        <w:rPr>
          <w:rFonts w:eastAsia="MS Mincho" w:cs="Arial"/>
          <w:b/>
          <w:sz w:val="24"/>
          <w:u w:val="single"/>
        </w:rPr>
      </w:pPr>
    </w:p>
    <w:p w14:paraId="719D588B" w14:textId="77777777" w:rsidR="00A00F93" w:rsidRPr="00C26BA9" w:rsidRDefault="00A00F93" w:rsidP="00C26BA9">
      <w:pPr>
        <w:spacing w:line="276" w:lineRule="auto"/>
        <w:jc w:val="center"/>
        <w:rPr>
          <w:rFonts w:eastAsia="MS Mincho" w:cs="Arial"/>
          <w:b/>
          <w:sz w:val="24"/>
          <w:u w:val="single"/>
        </w:rPr>
      </w:pPr>
      <w:r w:rsidRPr="00C26BA9">
        <w:rPr>
          <w:rFonts w:eastAsia="MS Mincho" w:cs="Arial"/>
          <w:b/>
          <w:sz w:val="24"/>
          <w:u w:val="single"/>
        </w:rPr>
        <w:t>Child and adult safeguarding</w:t>
      </w:r>
    </w:p>
    <w:p w14:paraId="3C5AB53F" w14:textId="77777777" w:rsidR="00A00F93" w:rsidRPr="00C26BA9" w:rsidRDefault="00A00F93" w:rsidP="00C26BA9">
      <w:pPr>
        <w:spacing w:line="276" w:lineRule="auto"/>
        <w:rPr>
          <w:rFonts w:eastAsia="MS Mincho" w:cs="Arial"/>
          <w:b/>
          <w:i/>
          <w:color w:val="000000" w:themeColor="text1"/>
          <w:sz w:val="24"/>
          <w:u w:val="single"/>
        </w:rPr>
      </w:pPr>
    </w:p>
    <w:p w14:paraId="7EE80953" w14:textId="77777777" w:rsidR="00A00F93" w:rsidRPr="00C26BA9" w:rsidRDefault="00A00F93" w:rsidP="00C26BA9">
      <w:pPr>
        <w:spacing w:line="276" w:lineRule="auto"/>
        <w:rPr>
          <w:rFonts w:cs="Arial"/>
          <w:color w:val="000000" w:themeColor="text1"/>
          <w:sz w:val="24"/>
        </w:rPr>
      </w:pPr>
      <w:r w:rsidRPr="00C26BA9">
        <w:rPr>
          <w:rFonts w:cs="Arial"/>
          <w:color w:val="000000" w:themeColor="text1"/>
          <w:sz w:val="24"/>
        </w:rPr>
        <w:t xml:space="preserve">The GP curriculum states that all GPs should be competent in dealing with safeguarding. This includes </w:t>
      </w:r>
      <w:proofErr w:type="spellStart"/>
      <w:r w:rsidRPr="00C26BA9">
        <w:rPr>
          <w:rFonts w:cs="Arial"/>
          <w:color w:val="000000" w:themeColor="text1"/>
          <w:sz w:val="24"/>
        </w:rPr>
        <w:t>recognising</w:t>
      </w:r>
      <w:proofErr w:type="spellEnd"/>
      <w:r w:rsidRPr="00C26BA9">
        <w:rPr>
          <w:rFonts w:cs="Arial"/>
          <w:color w:val="000000" w:themeColor="text1"/>
          <w:sz w:val="24"/>
        </w:rPr>
        <w:t xml:space="preserve"> abuse, knowing about local arrangements for safeguarding, referring effectively and playing a part in assessment and continuing management, including prevention of further abuse. GP trainees need to satisfy the GMC and the public that they have the appropriate knowledge, clinical skills and understanding of safeguarding to be able to apply these skills when they arise.</w:t>
      </w:r>
    </w:p>
    <w:p w14:paraId="26BAB462" w14:textId="77777777" w:rsidR="00C26BA9" w:rsidRPr="00C26BA9" w:rsidRDefault="00C26BA9" w:rsidP="00C26BA9">
      <w:pPr>
        <w:spacing w:line="276" w:lineRule="auto"/>
        <w:rPr>
          <w:rFonts w:cs="Arial"/>
          <w:color w:val="000000" w:themeColor="text1"/>
          <w:sz w:val="24"/>
        </w:rPr>
      </w:pPr>
    </w:p>
    <w:p w14:paraId="63A6D78F" w14:textId="77777777" w:rsidR="00A00F93" w:rsidRPr="00C26BA9" w:rsidRDefault="00A00F93" w:rsidP="00C26BA9">
      <w:pPr>
        <w:spacing w:line="276" w:lineRule="auto"/>
        <w:rPr>
          <w:rFonts w:cs="Arial"/>
          <w:color w:val="000000" w:themeColor="text1"/>
          <w:sz w:val="24"/>
        </w:rPr>
      </w:pPr>
      <w:r w:rsidRPr="00C26BA9">
        <w:rPr>
          <w:rFonts w:cs="Arial"/>
          <w:color w:val="000000" w:themeColor="text1"/>
          <w:sz w:val="24"/>
        </w:rPr>
        <w:t xml:space="preserve">Safeguarding training is an integral and ongoing part of both GP training and professional development as a qualified GP. </w:t>
      </w:r>
    </w:p>
    <w:p w14:paraId="12A87F7D" w14:textId="77777777" w:rsidR="00C26BA9" w:rsidRPr="00C26BA9" w:rsidRDefault="00C26BA9" w:rsidP="00C26BA9">
      <w:pPr>
        <w:spacing w:line="276" w:lineRule="auto"/>
        <w:rPr>
          <w:rFonts w:cs="Arial"/>
          <w:color w:val="000000" w:themeColor="text1"/>
          <w:sz w:val="24"/>
        </w:rPr>
      </w:pPr>
    </w:p>
    <w:p w14:paraId="652F9F85" w14:textId="77777777" w:rsidR="00A00F93" w:rsidRPr="00C26BA9" w:rsidRDefault="00A32054" w:rsidP="00C26BA9">
      <w:pPr>
        <w:spacing w:line="276" w:lineRule="auto"/>
        <w:rPr>
          <w:rFonts w:cs="Arial"/>
          <w:color w:val="000000" w:themeColor="text1"/>
          <w:sz w:val="24"/>
        </w:rPr>
      </w:pPr>
      <w:r w:rsidRPr="00C26BA9">
        <w:rPr>
          <w:rFonts w:cs="Arial"/>
          <w:color w:val="000000" w:themeColor="text1"/>
          <w:sz w:val="24"/>
          <w:shd w:val="clear" w:color="auto" w:fill="FFFFFF"/>
          <w:lang w:val="en-GB"/>
        </w:rPr>
        <w:t xml:space="preserve">All trainees require a knowledge update, which includes adult and child safeguarding at the start or early part of each training year, i.e. ST1, ST2 and ST3. This includes </w:t>
      </w:r>
      <w:r w:rsidRPr="00C26BA9">
        <w:rPr>
          <w:rFonts w:cs="Arial"/>
          <w:color w:val="000000" w:themeColor="text1"/>
          <w:sz w:val="24"/>
        </w:rPr>
        <w:t xml:space="preserve">key safeguarding information and appropriate action to take if there are any concerns. This evidence must be documented in the trainee’s </w:t>
      </w:r>
      <w:proofErr w:type="spellStart"/>
      <w:r w:rsidRPr="00C26BA9">
        <w:rPr>
          <w:rFonts w:cs="Arial"/>
          <w:color w:val="000000" w:themeColor="text1"/>
          <w:sz w:val="24"/>
        </w:rPr>
        <w:t>ePortfolio</w:t>
      </w:r>
      <w:proofErr w:type="spellEnd"/>
      <w:r w:rsidRPr="00C26BA9">
        <w:rPr>
          <w:rFonts w:cs="Arial"/>
          <w:color w:val="000000" w:themeColor="text1"/>
          <w:sz w:val="24"/>
        </w:rPr>
        <w:t xml:space="preserve">. In addition all trainees </w:t>
      </w:r>
      <w:r w:rsidRPr="00C26BA9">
        <w:rPr>
          <w:rFonts w:cs="Arial"/>
          <w:color w:val="000000" w:themeColor="text1"/>
          <w:sz w:val="24"/>
          <w:shd w:val="clear" w:color="auto" w:fill="FFFFFF"/>
          <w:lang w:val="en-GB"/>
        </w:rPr>
        <w:t>require a minimum of one participatory piece of learning and reflection for both adult and child safeguarding in each training year.</w:t>
      </w:r>
    </w:p>
    <w:p w14:paraId="6F07AB99" w14:textId="77777777" w:rsidR="00A32054" w:rsidRPr="00C26BA9" w:rsidRDefault="00A32054" w:rsidP="00C26BA9">
      <w:pPr>
        <w:spacing w:line="276" w:lineRule="auto"/>
        <w:rPr>
          <w:rFonts w:cs="Arial"/>
          <w:b/>
          <w:color w:val="000000" w:themeColor="text1"/>
          <w:sz w:val="24"/>
        </w:rPr>
      </w:pPr>
    </w:p>
    <w:p w14:paraId="144EF735" w14:textId="77777777" w:rsidR="00A00F93" w:rsidRPr="00C26BA9" w:rsidRDefault="00A00F93" w:rsidP="00C26BA9">
      <w:pPr>
        <w:spacing w:line="276" w:lineRule="auto"/>
        <w:rPr>
          <w:rFonts w:cs="Arial"/>
          <w:color w:val="000000" w:themeColor="text1"/>
          <w:sz w:val="24"/>
        </w:rPr>
      </w:pPr>
      <w:r w:rsidRPr="00C26BA9">
        <w:rPr>
          <w:rFonts w:cs="Arial"/>
          <w:color w:val="000000" w:themeColor="text1"/>
          <w:sz w:val="24"/>
        </w:rPr>
        <w:t xml:space="preserve">Trainees need Level 3 training in both child and adult safeguarding. </w:t>
      </w:r>
    </w:p>
    <w:p w14:paraId="346E7203" w14:textId="77777777" w:rsidR="00A32054" w:rsidRPr="00C26BA9" w:rsidRDefault="00A32054" w:rsidP="00C26BA9">
      <w:pPr>
        <w:pStyle w:val="NormalWeb"/>
        <w:shd w:val="clear" w:color="auto" w:fill="FFFFFF"/>
        <w:spacing w:line="276" w:lineRule="auto"/>
        <w:rPr>
          <w:color w:val="000000" w:themeColor="text1"/>
          <w:sz w:val="24"/>
          <w:szCs w:val="24"/>
        </w:rPr>
      </w:pPr>
    </w:p>
    <w:p w14:paraId="0C18BB0E" w14:textId="77777777" w:rsidR="00A00F93" w:rsidRPr="00C26BA9" w:rsidRDefault="00A00F93" w:rsidP="00C26BA9">
      <w:pPr>
        <w:pStyle w:val="NormalWeb"/>
        <w:shd w:val="clear" w:color="auto" w:fill="FFFFFF"/>
        <w:spacing w:line="276" w:lineRule="auto"/>
        <w:rPr>
          <w:color w:val="000000" w:themeColor="text1"/>
          <w:sz w:val="24"/>
          <w:szCs w:val="24"/>
        </w:rPr>
      </w:pPr>
      <w:r w:rsidRPr="00C26BA9">
        <w:rPr>
          <w:color w:val="000000" w:themeColor="text1"/>
          <w:sz w:val="24"/>
          <w:szCs w:val="24"/>
        </w:rPr>
        <w:t xml:space="preserve">At the start of the training programme in the trainee’s first post in ST1 </w:t>
      </w:r>
      <w:r w:rsidRPr="00C26BA9">
        <w:rPr>
          <w:b/>
          <w:color w:val="000000" w:themeColor="text1"/>
          <w:sz w:val="24"/>
          <w:szCs w:val="24"/>
        </w:rPr>
        <w:t>all</w:t>
      </w:r>
      <w:r w:rsidR="00684D50" w:rsidRPr="00C26BA9">
        <w:rPr>
          <w:color w:val="000000" w:themeColor="text1"/>
          <w:sz w:val="24"/>
          <w:szCs w:val="24"/>
        </w:rPr>
        <w:t xml:space="preserve"> trainees need to receive training</w:t>
      </w:r>
      <w:r w:rsidRPr="00C26BA9">
        <w:rPr>
          <w:color w:val="000000" w:themeColor="text1"/>
          <w:sz w:val="24"/>
          <w:szCs w:val="24"/>
        </w:rPr>
        <w:t xml:space="preserve"> </w:t>
      </w:r>
      <w:r w:rsidR="00684D50" w:rsidRPr="00C26BA9">
        <w:rPr>
          <w:color w:val="000000" w:themeColor="text1"/>
          <w:sz w:val="24"/>
          <w:szCs w:val="24"/>
        </w:rPr>
        <w:t xml:space="preserve">on both child and adult </w:t>
      </w:r>
      <w:r w:rsidRPr="00C26BA9">
        <w:rPr>
          <w:color w:val="000000" w:themeColor="text1"/>
          <w:sz w:val="24"/>
          <w:szCs w:val="24"/>
        </w:rPr>
        <w:t xml:space="preserve">safeguarding and </w:t>
      </w:r>
      <w:r w:rsidR="00684D50" w:rsidRPr="00C26BA9">
        <w:rPr>
          <w:color w:val="000000" w:themeColor="text1"/>
          <w:sz w:val="24"/>
          <w:szCs w:val="24"/>
        </w:rPr>
        <w:t xml:space="preserve">in particular have the knowledge of the </w:t>
      </w:r>
      <w:r w:rsidRPr="00C26BA9">
        <w:rPr>
          <w:color w:val="000000" w:themeColor="text1"/>
          <w:sz w:val="24"/>
          <w:szCs w:val="24"/>
        </w:rPr>
        <w:t xml:space="preserve">appropriate action to take if there are any concerns. </w:t>
      </w:r>
      <w:r w:rsidR="00684D50" w:rsidRPr="00C26BA9">
        <w:rPr>
          <w:color w:val="000000" w:themeColor="text1"/>
          <w:sz w:val="24"/>
          <w:szCs w:val="24"/>
        </w:rPr>
        <w:t xml:space="preserve">This can be done through local training or online resources and </w:t>
      </w:r>
      <w:r w:rsidRPr="00C26BA9">
        <w:rPr>
          <w:color w:val="000000" w:themeColor="text1"/>
          <w:sz w:val="24"/>
          <w:szCs w:val="24"/>
        </w:rPr>
        <w:t xml:space="preserve">documented by the trainee in their </w:t>
      </w:r>
      <w:proofErr w:type="spellStart"/>
      <w:r w:rsidRPr="00C26BA9">
        <w:rPr>
          <w:color w:val="000000" w:themeColor="text1"/>
          <w:sz w:val="24"/>
          <w:szCs w:val="24"/>
        </w:rPr>
        <w:t>ePortfolio</w:t>
      </w:r>
      <w:proofErr w:type="spellEnd"/>
      <w:r w:rsidRPr="00C26BA9">
        <w:rPr>
          <w:color w:val="000000" w:themeColor="text1"/>
          <w:sz w:val="24"/>
          <w:szCs w:val="24"/>
        </w:rPr>
        <w:t>.</w:t>
      </w:r>
    </w:p>
    <w:p w14:paraId="2BCCB305" w14:textId="77777777" w:rsidR="00C26BA9" w:rsidRPr="00C26BA9" w:rsidRDefault="00C26BA9" w:rsidP="00C26BA9">
      <w:pPr>
        <w:pStyle w:val="NormalWeb"/>
        <w:shd w:val="clear" w:color="auto" w:fill="FFFFFF"/>
        <w:spacing w:line="276" w:lineRule="auto"/>
        <w:rPr>
          <w:color w:val="000000" w:themeColor="text1"/>
          <w:sz w:val="24"/>
          <w:szCs w:val="24"/>
        </w:rPr>
      </w:pPr>
    </w:p>
    <w:p w14:paraId="66FCA3BA" w14:textId="77777777" w:rsidR="00A00F93" w:rsidRPr="00C26BA9" w:rsidRDefault="00A00F93" w:rsidP="00C26BA9">
      <w:pPr>
        <w:pStyle w:val="NormalWeb"/>
        <w:shd w:val="clear" w:color="auto" w:fill="FFFFFF"/>
        <w:spacing w:line="276" w:lineRule="auto"/>
        <w:rPr>
          <w:color w:val="000000" w:themeColor="text1"/>
          <w:sz w:val="24"/>
          <w:szCs w:val="24"/>
        </w:rPr>
      </w:pPr>
      <w:r w:rsidRPr="00C26BA9">
        <w:rPr>
          <w:color w:val="000000" w:themeColor="text1"/>
          <w:sz w:val="24"/>
          <w:szCs w:val="24"/>
        </w:rPr>
        <w:t xml:space="preserve">This learning then needs to be applied throughout training. Information on </w:t>
      </w:r>
      <w:proofErr w:type="gramStart"/>
      <w:r w:rsidRPr="00C26BA9">
        <w:rPr>
          <w:color w:val="000000" w:themeColor="text1"/>
          <w:sz w:val="24"/>
          <w:szCs w:val="24"/>
        </w:rPr>
        <w:t>both</w:t>
      </w:r>
      <w:proofErr w:type="gramEnd"/>
      <w:r w:rsidRPr="00C26BA9">
        <w:rPr>
          <w:color w:val="000000" w:themeColor="text1"/>
          <w:sz w:val="24"/>
          <w:szCs w:val="24"/>
        </w:rPr>
        <w:t xml:space="preserve"> child and adult safeguarding needs to be documented within the trainee’s </w:t>
      </w:r>
      <w:proofErr w:type="spellStart"/>
      <w:r w:rsidRPr="00C26BA9">
        <w:rPr>
          <w:color w:val="000000" w:themeColor="text1"/>
          <w:sz w:val="24"/>
          <w:szCs w:val="24"/>
        </w:rPr>
        <w:t>ePortfolio</w:t>
      </w:r>
      <w:proofErr w:type="spellEnd"/>
      <w:r w:rsidRPr="00C26BA9">
        <w:rPr>
          <w:color w:val="000000" w:themeColor="text1"/>
          <w:sz w:val="24"/>
          <w:szCs w:val="24"/>
        </w:rPr>
        <w:t xml:space="preserve"> within each training year and made available to the ARCP panels. </w:t>
      </w:r>
    </w:p>
    <w:p w14:paraId="0521F968" w14:textId="77777777" w:rsidR="00C26BA9" w:rsidRPr="00C26BA9" w:rsidRDefault="00C26BA9" w:rsidP="00C26BA9">
      <w:pPr>
        <w:pStyle w:val="NormalWeb"/>
        <w:shd w:val="clear" w:color="auto" w:fill="FFFFFF"/>
        <w:spacing w:line="276" w:lineRule="auto"/>
        <w:rPr>
          <w:color w:val="000000" w:themeColor="text1"/>
          <w:sz w:val="24"/>
          <w:szCs w:val="24"/>
        </w:rPr>
      </w:pPr>
    </w:p>
    <w:p w14:paraId="0369AE4D" w14:textId="77777777" w:rsidR="00A00F93" w:rsidRPr="00C26BA9" w:rsidRDefault="00A00F93" w:rsidP="00C26BA9">
      <w:pPr>
        <w:pStyle w:val="NormalWeb"/>
        <w:shd w:val="clear" w:color="auto" w:fill="FFFFFF"/>
        <w:spacing w:line="276" w:lineRule="auto"/>
        <w:rPr>
          <w:color w:val="000000" w:themeColor="text1"/>
          <w:sz w:val="24"/>
          <w:szCs w:val="24"/>
        </w:rPr>
      </w:pPr>
      <w:r w:rsidRPr="00C26BA9">
        <w:rPr>
          <w:color w:val="000000" w:themeColor="text1"/>
          <w:sz w:val="24"/>
          <w:szCs w:val="24"/>
        </w:rPr>
        <w:t>It is recommended that demonstration of on-going learning come from participatory and non–participatory training activities.</w:t>
      </w:r>
    </w:p>
    <w:p w14:paraId="08507733" w14:textId="77777777" w:rsidR="00A00F93" w:rsidRPr="00C26BA9" w:rsidRDefault="00A00F93" w:rsidP="00C26BA9">
      <w:pPr>
        <w:pStyle w:val="NormalWeb"/>
        <w:shd w:val="clear" w:color="auto" w:fill="FFFFFF"/>
        <w:spacing w:line="276" w:lineRule="auto"/>
        <w:rPr>
          <w:color w:val="000000" w:themeColor="text1"/>
          <w:sz w:val="24"/>
          <w:szCs w:val="24"/>
        </w:rPr>
      </w:pPr>
    </w:p>
    <w:p w14:paraId="11F98DFC" w14:textId="77777777" w:rsidR="00C26BA9" w:rsidRDefault="00C26BA9">
      <w:pPr>
        <w:rPr>
          <w:rFonts w:cs="Arial"/>
          <w:color w:val="000000" w:themeColor="text1"/>
          <w:sz w:val="24"/>
        </w:rPr>
      </w:pPr>
      <w:r>
        <w:rPr>
          <w:rFonts w:cs="Arial"/>
          <w:color w:val="000000" w:themeColor="text1"/>
          <w:sz w:val="24"/>
        </w:rPr>
        <w:br w:type="page"/>
      </w:r>
    </w:p>
    <w:p w14:paraId="2DC8C7B4" w14:textId="77777777" w:rsidR="00A00F93" w:rsidRPr="00C26BA9" w:rsidRDefault="00A00F93" w:rsidP="00C26BA9">
      <w:pPr>
        <w:spacing w:line="276" w:lineRule="auto"/>
        <w:rPr>
          <w:rFonts w:cs="Arial"/>
          <w:color w:val="000000" w:themeColor="text1"/>
          <w:sz w:val="24"/>
        </w:rPr>
      </w:pPr>
      <w:r w:rsidRPr="00C26BA9">
        <w:rPr>
          <w:rFonts w:cs="Arial"/>
          <w:color w:val="000000" w:themeColor="text1"/>
          <w:sz w:val="24"/>
        </w:rPr>
        <w:lastRenderedPageBreak/>
        <w:t>Participatory</w:t>
      </w:r>
    </w:p>
    <w:p w14:paraId="0AA1FEFD" w14:textId="77777777" w:rsidR="00C26BA9" w:rsidRPr="00C26BA9" w:rsidRDefault="00C26BA9" w:rsidP="00C26BA9">
      <w:pPr>
        <w:spacing w:line="276" w:lineRule="auto"/>
        <w:rPr>
          <w:rFonts w:cs="Arial"/>
          <w:color w:val="000000" w:themeColor="text1"/>
          <w:sz w:val="24"/>
        </w:rPr>
      </w:pPr>
    </w:p>
    <w:p w14:paraId="03BFE50A" w14:textId="77777777" w:rsidR="00A00F93" w:rsidRPr="00C26BA9" w:rsidRDefault="00A00F93" w:rsidP="00C26BA9">
      <w:pPr>
        <w:pStyle w:val="ListParagraph"/>
        <w:numPr>
          <w:ilvl w:val="0"/>
          <w:numId w:val="3"/>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Attending face to face training</w:t>
      </w:r>
    </w:p>
    <w:p w14:paraId="73C25BCA" w14:textId="77777777" w:rsidR="00A00F93" w:rsidRPr="00C26BA9" w:rsidRDefault="00A00F93" w:rsidP="00C26BA9">
      <w:pPr>
        <w:pStyle w:val="ListParagraph"/>
        <w:numPr>
          <w:ilvl w:val="0"/>
          <w:numId w:val="3"/>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Group case discussion</w:t>
      </w:r>
    </w:p>
    <w:p w14:paraId="02484634" w14:textId="77777777" w:rsidR="00A00F93" w:rsidRPr="00C26BA9" w:rsidRDefault="00A00F93" w:rsidP="00C26BA9">
      <w:pPr>
        <w:pStyle w:val="ListParagraph"/>
        <w:numPr>
          <w:ilvl w:val="0"/>
          <w:numId w:val="3"/>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Reflection on the learning from a case the professional has been involved in and how this applied to their practice</w:t>
      </w:r>
    </w:p>
    <w:p w14:paraId="29B9E912" w14:textId="77777777" w:rsidR="00A00F93" w:rsidRPr="00C26BA9" w:rsidRDefault="00A00F93" w:rsidP="00C26BA9">
      <w:pPr>
        <w:pStyle w:val="ListParagraph"/>
        <w:numPr>
          <w:ilvl w:val="0"/>
          <w:numId w:val="3"/>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Webinars</w:t>
      </w:r>
    </w:p>
    <w:p w14:paraId="5C2F2983" w14:textId="77777777" w:rsidR="00A00F93" w:rsidRPr="00C26BA9" w:rsidRDefault="00A00F93" w:rsidP="00C26BA9">
      <w:pPr>
        <w:pStyle w:val="ListParagraph"/>
        <w:numPr>
          <w:ilvl w:val="0"/>
          <w:numId w:val="3"/>
        </w:numPr>
        <w:shd w:val="clear" w:color="auto" w:fill="FFFFFF"/>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Attendance at safeguarding practice meetings</w:t>
      </w:r>
    </w:p>
    <w:p w14:paraId="18586C7F" w14:textId="77777777" w:rsidR="00A00F93" w:rsidRPr="00C26BA9" w:rsidRDefault="00A00F93" w:rsidP="00C26BA9">
      <w:pPr>
        <w:pStyle w:val="ListParagraph"/>
        <w:numPr>
          <w:ilvl w:val="0"/>
          <w:numId w:val="3"/>
        </w:numPr>
        <w:shd w:val="clear" w:color="auto" w:fill="FFFFFF"/>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Demonstrating how learning gained from reading the RCGP Child Safeguarding and Adult Safeguarding toolkits has been applied to clinical practice</w:t>
      </w:r>
    </w:p>
    <w:p w14:paraId="1346F8D0" w14:textId="77777777" w:rsidR="00A00F93" w:rsidRPr="00C26BA9" w:rsidRDefault="00A00F93" w:rsidP="00C26BA9">
      <w:pPr>
        <w:pStyle w:val="NormalWeb"/>
        <w:shd w:val="clear" w:color="auto" w:fill="FFFFFF"/>
        <w:spacing w:line="276" w:lineRule="auto"/>
        <w:rPr>
          <w:color w:val="000000" w:themeColor="text1"/>
          <w:sz w:val="24"/>
          <w:szCs w:val="24"/>
        </w:rPr>
      </w:pPr>
    </w:p>
    <w:p w14:paraId="24C411A4" w14:textId="77777777" w:rsidR="00A00F93" w:rsidRPr="00C26BA9" w:rsidRDefault="00A00F93" w:rsidP="00C26BA9">
      <w:pPr>
        <w:spacing w:line="276" w:lineRule="auto"/>
        <w:rPr>
          <w:rFonts w:cs="Arial"/>
          <w:color w:val="000000" w:themeColor="text1"/>
          <w:sz w:val="24"/>
        </w:rPr>
      </w:pPr>
      <w:r w:rsidRPr="00C26BA9">
        <w:rPr>
          <w:rFonts w:cs="Arial"/>
          <w:color w:val="000000" w:themeColor="text1"/>
          <w:sz w:val="24"/>
        </w:rPr>
        <w:t>Non- participatory</w:t>
      </w:r>
    </w:p>
    <w:p w14:paraId="10E57E66" w14:textId="77777777" w:rsidR="00C26BA9" w:rsidRPr="00C26BA9" w:rsidRDefault="00C26BA9" w:rsidP="00C26BA9">
      <w:pPr>
        <w:spacing w:line="276" w:lineRule="auto"/>
        <w:rPr>
          <w:rFonts w:cs="Arial"/>
          <w:color w:val="000000" w:themeColor="text1"/>
          <w:sz w:val="24"/>
        </w:rPr>
      </w:pPr>
    </w:p>
    <w:p w14:paraId="4F2EBCE9" w14:textId="77777777" w:rsidR="00A00F93" w:rsidRPr="00C26BA9" w:rsidRDefault="00A00F93" w:rsidP="00C26BA9">
      <w:pPr>
        <w:pStyle w:val="ListParagraph"/>
        <w:numPr>
          <w:ilvl w:val="0"/>
          <w:numId w:val="2"/>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E-Learning</w:t>
      </w:r>
    </w:p>
    <w:p w14:paraId="4F1216C7" w14:textId="77777777" w:rsidR="00A00F93" w:rsidRPr="00C26BA9" w:rsidRDefault="00A00F93" w:rsidP="00C26BA9">
      <w:pPr>
        <w:pStyle w:val="ListParagraph"/>
        <w:numPr>
          <w:ilvl w:val="0"/>
          <w:numId w:val="2"/>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Reading the RCGP Child Safeguarding and Adult Safeguarding toolkits</w:t>
      </w:r>
    </w:p>
    <w:p w14:paraId="0400ABDC" w14:textId="77777777" w:rsidR="00A00F93" w:rsidRPr="00C26BA9" w:rsidRDefault="00A00F93" w:rsidP="00C26BA9">
      <w:pPr>
        <w:pStyle w:val="ListParagraph"/>
        <w:numPr>
          <w:ilvl w:val="0"/>
          <w:numId w:val="2"/>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Relevant safeguarding guidelines of journal articles</w:t>
      </w:r>
    </w:p>
    <w:p w14:paraId="28CDC90D" w14:textId="77777777" w:rsidR="00C26BA9" w:rsidRPr="00C26BA9" w:rsidRDefault="00C26BA9" w:rsidP="00C26BA9">
      <w:pPr>
        <w:contextualSpacing/>
        <w:rPr>
          <w:rFonts w:cs="Arial"/>
          <w:color w:val="000000" w:themeColor="text1"/>
          <w:sz w:val="24"/>
        </w:rPr>
      </w:pPr>
    </w:p>
    <w:p w14:paraId="79A6BF0D" w14:textId="77777777" w:rsidR="00A00F93" w:rsidRPr="00C26BA9" w:rsidRDefault="00A00F93" w:rsidP="00C26BA9">
      <w:pPr>
        <w:spacing w:line="276" w:lineRule="auto"/>
        <w:rPr>
          <w:rFonts w:cs="Arial"/>
          <w:color w:val="000000" w:themeColor="text1"/>
          <w:sz w:val="24"/>
        </w:rPr>
      </w:pPr>
      <w:r w:rsidRPr="00C26BA9">
        <w:rPr>
          <w:rFonts w:cs="Arial"/>
          <w:color w:val="000000" w:themeColor="text1"/>
          <w:sz w:val="24"/>
        </w:rPr>
        <w:t xml:space="preserve">Both participatory and non-participatory learning which supports safeguarding needs to be linked in the </w:t>
      </w:r>
      <w:proofErr w:type="spellStart"/>
      <w:r w:rsidRPr="00C26BA9">
        <w:rPr>
          <w:rFonts w:cs="Arial"/>
          <w:color w:val="000000" w:themeColor="text1"/>
          <w:sz w:val="24"/>
        </w:rPr>
        <w:t>ePortfolio</w:t>
      </w:r>
      <w:proofErr w:type="spellEnd"/>
      <w:r w:rsidRPr="00C26BA9">
        <w:rPr>
          <w:rFonts w:cs="Arial"/>
          <w:color w:val="000000" w:themeColor="text1"/>
          <w:sz w:val="24"/>
        </w:rPr>
        <w:t xml:space="preserve"> to the clinical experience group</w:t>
      </w:r>
      <w:proofErr w:type="gramStart"/>
      <w:r w:rsidRPr="00C26BA9">
        <w:rPr>
          <w:rFonts w:cs="Arial"/>
          <w:color w:val="000000" w:themeColor="text1"/>
          <w:sz w:val="24"/>
        </w:rPr>
        <w:t>,‘</w:t>
      </w:r>
      <w:r w:rsidRPr="00C26BA9">
        <w:rPr>
          <w:rFonts w:cs="Arial"/>
          <w:i/>
          <w:color w:val="000000" w:themeColor="text1"/>
          <w:sz w:val="24"/>
          <w:shd w:val="clear" w:color="auto" w:fill="FFFFFF"/>
          <w:lang w:val="en-GB"/>
        </w:rPr>
        <w:t>People</w:t>
      </w:r>
      <w:proofErr w:type="gramEnd"/>
      <w:r w:rsidRPr="00C26BA9">
        <w:rPr>
          <w:rFonts w:cs="Arial"/>
          <w:i/>
          <w:color w:val="000000" w:themeColor="text1"/>
          <w:sz w:val="24"/>
          <w:shd w:val="clear" w:color="auto" w:fill="FFFFFF"/>
          <w:lang w:val="en-GB"/>
        </w:rPr>
        <w:t xml:space="preserve"> with health disadvantages and vulnerabilities’</w:t>
      </w:r>
      <w:r w:rsidRPr="00C26BA9">
        <w:rPr>
          <w:rFonts w:cs="Arial"/>
          <w:color w:val="000000" w:themeColor="text1"/>
          <w:sz w:val="24"/>
          <w:shd w:val="clear" w:color="auto" w:fill="FFFFFF"/>
          <w:lang w:val="en-GB"/>
        </w:rPr>
        <w:t>.</w:t>
      </w:r>
    </w:p>
    <w:p w14:paraId="0CFC52EE" w14:textId="77777777" w:rsidR="00A00F93" w:rsidRPr="00C26BA9" w:rsidRDefault="00A00F93" w:rsidP="00C26BA9">
      <w:pPr>
        <w:spacing w:line="276" w:lineRule="auto"/>
        <w:rPr>
          <w:rFonts w:cs="Arial"/>
          <w:color w:val="000000" w:themeColor="text1"/>
          <w:sz w:val="24"/>
          <w:shd w:val="clear" w:color="auto" w:fill="FFFFFF"/>
          <w:lang w:val="en-GB"/>
        </w:rPr>
      </w:pPr>
    </w:p>
    <w:p w14:paraId="47063C04" w14:textId="77777777" w:rsidR="00A00F93" w:rsidRPr="00C26BA9" w:rsidRDefault="00A00F93" w:rsidP="00C26BA9">
      <w:pPr>
        <w:spacing w:line="276" w:lineRule="auto"/>
        <w:rPr>
          <w:rFonts w:cs="Arial"/>
          <w:color w:val="000000" w:themeColor="text1"/>
          <w:sz w:val="24"/>
          <w:u w:val="single"/>
          <w:shd w:val="clear" w:color="auto" w:fill="FFFFFF"/>
          <w:lang w:val="en-GB"/>
        </w:rPr>
      </w:pPr>
      <w:r w:rsidRPr="00C26BA9">
        <w:rPr>
          <w:rFonts w:cs="Arial"/>
          <w:color w:val="000000" w:themeColor="text1"/>
          <w:sz w:val="24"/>
          <w:u w:val="single"/>
          <w:shd w:val="clear" w:color="auto" w:fill="FFFFFF"/>
          <w:lang w:val="en-GB"/>
        </w:rPr>
        <w:t>Minimum requirements</w:t>
      </w:r>
    </w:p>
    <w:p w14:paraId="55395133" w14:textId="77777777" w:rsidR="00C26BA9" w:rsidRPr="00C26BA9" w:rsidRDefault="00C26BA9" w:rsidP="00C26BA9">
      <w:pPr>
        <w:spacing w:line="276" w:lineRule="auto"/>
        <w:rPr>
          <w:rFonts w:cs="Arial"/>
          <w:color w:val="000000" w:themeColor="text1"/>
          <w:sz w:val="24"/>
          <w:u w:val="single"/>
          <w:shd w:val="clear" w:color="auto" w:fill="FFFFFF"/>
          <w:lang w:val="en-GB"/>
        </w:rPr>
      </w:pPr>
    </w:p>
    <w:p w14:paraId="12ECF303" w14:textId="77777777" w:rsidR="00A00F93" w:rsidRPr="00C26BA9" w:rsidRDefault="00A00F93" w:rsidP="00C26BA9">
      <w:pPr>
        <w:spacing w:line="276" w:lineRule="auto"/>
        <w:rPr>
          <w:rFonts w:cs="Arial"/>
          <w:color w:val="000000" w:themeColor="text1"/>
          <w:sz w:val="24"/>
          <w:shd w:val="clear" w:color="auto" w:fill="FFFFFF"/>
          <w:lang w:val="en-GB"/>
        </w:rPr>
      </w:pPr>
      <w:r w:rsidRPr="00C26BA9">
        <w:rPr>
          <w:rFonts w:cs="Arial"/>
          <w:color w:val="000000" w:themeColor="text1"/>
          <w:sz w:val="24"/>
          <w:shd w:val="clear" w:color="auto" w:fill="FFFFFF"/>
          <w:lang w:val="en-GB"/>
        </w:rPr>
        <w:t xml:space="preserve">All trainees require a knowledge update, which includes adult and child safeguarding at the start or early part of each training year, i.e. ST1, ST2 and ST3. This includes </w:t>
      </w:r>
      <w:r w:rsidRPr="00C26BA9">
        <w:rPr>
          <w:rFonts w:cs="Arial"/>
          <w:color w:val="000000" w:themeColor="text1"/>
          <w:sz w:val="24"/>
        </w:rPr>
        <w:t xml:space="preserve">key safeguarding information and appropriate action to take if there are any concerns. This evidence must be documented in the trainee’s </w:t>
      </w:r>
      <w:proofErr w:type="spellStart"/>
      <w:r w:rsidRPr="00C26BA9">
        <w:rPr>
          <w:rFonts w:cs="Arial"/>
          <w:color w:val="000000" w:themeColor="text1"/>
          <w:sz w:val="24"/>
        </w:rPr>
        <w:t>ePortfolio</w:t>
      </w:r>
      <w:proofErr w:type="spellEnd"/>
    </w:p>
    <w:p w14:paraId="273379A2" w14:textId="77777777" w:rsidR="00A00F93" w:rsidRPr="00C26BA9" w:rsidRDefault="00A00F93" w:rsidP="00C26BA9">
      <w:pPr>
        <w:spacing w:line="276" w:lineRule="auto"/>
        <w:rPr>
          <w:rFonts w:cs="Arial"/>
          <w:color w:val="000000" w:themeColor="text1"/>
          <w:sz w:val="24"/>
          <w:shd w:val="clear" w:color="auto" w:fill="FFFFFF"/>
          <w:lang w:val="en-GB"/>
        </w:rPr>
      </w:pPr>
    </w:p>
    <w:p w14:paraId="7CCDF086" w14:textId="77777777" w:rsidR="00A00F93" w:rsidRPr="00C26BA9" w:rsidRDefault="00A00F93" w:rsidP="00C26BA9">
      <w:pPr>
        <w:spacing w:line="276" w:lineRule="auto"/>
        <w:rPr>
          <w:rFonts w:cs="Arial"/>
          <w:color w:val="000000" w:themeColor="text1"/>
          <w:sz w:val="24"/>
          <w:shd w:val="clear" w:color="auto" w:fill="FFFFFF"/>
          <w:lang w:val="en-GB"/>
        </w:rPr>
      </w:pPr>
      <w:r w:rsidRPr="00C26BA9">
        <w:rPr>
          <w:rFonts w:cs="Arial"/>
          <w:color w:val="000000" w:themeColor="text1"/>
          <w:sz w:val="24"/>
          <w:shd w:val="clear" w:color="auto" w:fill="FFFFFF"/>
          <w:lang w:val="en-GB"/>
        </w:rPr>
        <w:t xml:space="preserve">All trainees require a minimum of one participatory piece of learning and reflection for both adult and child safeguarding in each training year. This needs to be added into the </w:t>
      </w:r>
      <w:proofErr w:type="spellStart"/>
      <w:r w:rsidRPr="00C26BA9">
        <w:rPr>
          <w:rFonts w:cs="Arial"/>
          <w:color w:val="000000" w:themeColor="text1"/>
          <w:sz w:val="24"/>
          <w:shd w:val="clear" w:color="auto" w:fill="FFFFFF"/>
          <w:lang w:val="en-GB"/>
        </w:rPr>
        <w:t>ePortfolio</w:t>
      </w:r>
      <w:proofErr w:type="spellEnd"/>
      <w:r w:rsidRPr="00C26BA9">
        <w:rPr>
          <w:rFonts w:cs="Arial"/>
          <w:color w:val="000000" w:themeColor="text1"/>
          <w:sz w:val="24"/>
          <w:shd w:val="clear" w:color="auto" w:fill="FFFFFF"/>
          <w:lang w:val="en-GB"/>
        </w:rPr>
        <w:t xml:space="preserve"> during the training year and not just before the trainee’s ESR. </w:t>
      </w:r>
    </w:p>
    <w:p w14:paraId="0391391F" w14:textId="77777777" w:rsidR="00A00F93" w:rsidRPr="00C26BA9" w:rsidRDefault="00A00F93" w:rsidP="00C26BA9">
      <w:pPr>
        <w:spacing w:line="276" w:lineRule="auto"/>
        <w:rPr>
          <w:rFonts w:cs="Arial"/>
          <w:color w:val="000000" w:themeColor="text1"/>
          <w:sz w:val="24"/>
          <w:shd w:val="clear" w:color="auto" w:fill="FFFFFF"/>
          <w:lang w:val="en-GB"/>
        </w:rPr>
      </w:pPr>
    </w:p>
    <w:p w14:paraId="75491839" w14:textId="77777777" w:rsidR="00A00F93" w:rsidRPr="00C26BA9" w:rsidRDefault="00A00F93" w:rsidP="00C26BA9">
      <w:pPr>
        <w:spacing w:line="276" w:lineRule="auto"/>
        <w:rPr>
          <w:rFonts w:cs="Arial"/>
          <w:color w:val="000000" w:themeColor="text1"/>
          <w:sz w:val="24"/>
        </w:rPr>
      </w:pPr>
      <w:r w:rsidRPr="00C26BA9">
        <w:rPr>
          <w:rFonts w:cs="Arial"/>
          <w:color w:val="000000" w:themeColor="text1"/>
          <w:sz w:val="24"/>
        </w:rPr>
        <w:t>As with all areas of the curriculum the ES will be asked if the trainee is competent in safeguarding in their final review. However, if in any post the supervisor has concerns about the trainee they will need close supervision and support when dealing with cases that may have safeguarding implications.</w:t>
      </w:r>
    </w:p>
    <w:p w14:paraId="10334B3B" w14:textId="77777777" w:rsidR="00A00F93" w:rsidRPr="00C26BA9" w:rsidRDefault="00A00F93" w:rsidP="00C26BA9">
      <w:pPr>
        <w:spacing w:line="276" w:lineRule="auto"/>
        <w:rPr>
          <w:rFonts w:cs="Arial"/>
          <w:color w:val="000000" w:themeColor="text1"/>
          <w:sz w:val="24"/>
          <w:u w:val="single"/>
        </w:rPr>
      </w:pPr>
    </w:p>
    <w:p w14:paraId="1AD9C81D" w14:textId="77777777" w:rsidR="00C26BA9" w:rsidRDefault="00C26BA9" w:rsidP="00C26BA9">
      <w:pPr>
        <w:spacing w:line="276" w:lineRule="auto"/>
        <w:rPr>
          <w:rFonts w:cs="Arial"/>
          <w:color w:val="000000" w:themeColor="text1"/>
          <w:sz w:val="24"/>
          <w:u w:val="single"/>
        </w:rPr>
      </w:pPr>
    </w:p>
    <w:p w14:paraId="2FDEC46C" w14:textId="77777777" w:rsidR="00C26BA9" w:rsidRDefault="00C26BA9" w:rsidP="00C26BA9">
      <w:pPr>
        <w:spacing w:line="276" w:lineRule="auto"/>
        <w:rPr>
          <w:rFonts w:cs="Arial"/>
          <w:color w:val="000000" w:themeColor="text1"/>
          <w:sz w:val="24"/>
          <w:u w:val="single"/>
        </w:rPr>
      </w:pPr>
    </w:p>
    <w:p w14:paraId="10222C71" w14:textId="77777777" w:rsidR="00A00F93" w:rsidRPr="00C26BA9" w:rsidRDefault="00A00F93" w:rsidP="00C26BA9">
      <w:pPr>
        <w:spacing w:line="276" w:lineRule="auto"/>
        <w:rPr>
          <w:rFonts w:cs="Arial"/>
          <w:color w:val="000000" w:themeColor="text1"/>
          <w:sz w:val="24"/>
          <w:u w:val="single"/>
        </w:rPr>
      </w:pPr>
      <w:r w:rsidRPr="00C26BA9">
        <w:rPr>
          <w:rFonts w:cs="Arial"/>
          <w:color w:val="000000" w:themeColor="text1"/>
          <w:sz w:val="24"/>
          <w:u w:val="single"/>
        </w:rPr>
        <w:t>The Intercollegiate Documents and RCGP supplementary guidance on safeguarding</w:t>
      </w:r>
    </w:p>
    <w:p w14:paraId="0A0FB04A" w14:textId="77777777" w:rsidR="00A00F93" w:rsidRPr="00C26BA9" w:rsidRDefault="00A00F93" w:rsidP="00C26BA9">
      <w:pPr>
        <w:spacing w:line="276" w:lineRule="auto"/>
        <w:rPr>
          <w:rFonts w:cs="Arial"/>
          <w:color w:val="000000" w:themeColor="text1"/>
          <w:sz w:val="24"/>
        </w:rPr>
      </w:pPr>
    </w:p>
    <w:p w14:paraId="16EAB411" w14:textId="77777777" w:rsidR="00A00F93" w:rsidRPr="00C26BA9" w:rsidRDefault="00A00F93" w:rsidP="00C26BA9">
      <w:pPr>
        <w:spacing w:line="276" w:lineRule="auto"/>
        <w:rPr>
          <w:rFonts w:cs="Arial"/>
          <w:color w:val="000000" w:themeColor="text1"/>
          <w:sz w:val="24"/>
        </w:rPr>
      </w:pPr>
      <w:r w:rsidRPr="00C26BA9">
        <w:rPr>
          <w:rFonts w:cs="Arial"/>
          <w:color w:val="000000" w:themeColor="text1"/>
          <w:sz w:val="24"/>
        </w:rPr>
        <w:t xml:space="preserve">Nationally </w:t>
      </w:r>
      <w:proofErr w:type="spellStart"/>
      <w:r w:rsidRPr="00C26BA9">
        <w:rPr>
          <w:rFonts w:cs="Arial"/>
          <w:color w:val="000000" w:themeColor="text1"/>
          <w:sz w:val="24"/>
        </w:rPr>
        <w:t>recognised</w:t>
      </w:r>
      <w:proofErr w:type="spellEnd"/>
      <w:r w:rsidRPr="00C26BA9">
        <w:rPr>
          <w:rFonts w:cs="Arial"/>
          <w:color w:val="000000" w:themeColor="text1"/>
          <w:sz w:val="24"/>
        </w:rPr>
        <w:t xml:space="preserve"> frameworks have been designed to guide all health professionals and their teams to identify the competencies they need in order to safeguard children and adults. These include:</w:t>
      </w:r>
    </w:p>
    <w:p w14:paraId="450AB7F5" w14:textId="77777777" w:rsidR="00A00F93" w:rsidRPr="00C26BA9" w:rsidRDefault="00A00F93" w:rsidP="00C26BA9">
      <w:pPr>
        <w:spacing w:line="276" w:lineRule="auto"/>
        <w:rPr>
          <w:rFonts w:cs="Arial"/>
          <w:color w:val="000000" w:themeColor="text1"/>
          <w:sz w:val="24"/>
        </w:rPr>
      </w:pPr>
    </w:p>
    <w:p w14:paraId="47400C4B" w14:textId="77777777" w:rsidR="00A00F93" w:rsidRPr="00C26BA9" w:rsidRDefault="00A00F93" w:rsidP="00C26BA9">
      <w:pPr>
        <w:spacing w:line="276" w:lineRule="auto"/>
        <w:rPr>
          <w:rFonts w:cs="Arial"/>
          <w:color w:val="000000" w:themeColor="text1"/>
          <w:sz w:val="24"/>
        </w:rPr>
      </w:pPr>
      <w:r w:rsidRPr="00C26BA9">
        <w:rPr>
          <w:rFonts w:cs="Arial"/>
          <w:color w:val="000000" w:themeColor="text1"/>
          <w:sz w:val="24"/>
        </w:rPr>
        <w:t>The Intercollegiate Documents (ICDs)</w:t>
      </w:r>
    </w:p>
    <w:p w14:paraId="7F246E5C" w14:textId="77777777" w:rsidR="00C26BA9" w:rsidRPr="00C26BA9" w:rsidRDefault="00C26BA9" w:rsidP="00C26BA9">
      <w:pPr>
        <w:spacing w:line="276" w:lineRule="auto"/>
        <w:rPr>
          <w:rFonts w:cs="Arial"/>
          <w:color w:val="000000" w:themeColor="text1"/>
          <w:sz w:val="24"/>
        </w:rPr>
      </w:pPr>
    </w:p>
    <w:p w14:paraId="33AACCD0" w14:textId="77777777" w:rsidR="00A00F93" w:rsidRPr="00C26BA9" w:rsidRDefault="00A00F93" w:rsidP="00C26BA9">
      <w:pPr>
        <w:pStyle w:val="ListParagraph"/>
        <w:numPr>
          <w:ilvl w:val="0"/>
          <w:numId w:val="1"/>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Safeguarding Children and Young People: Roles and Competencies for Healthcare Staff, Fourth edition: January 2019</w:t>
      </w:r>
    </w:p>
    <w:p w14:paraId="3A80181C" w14:textId="77777777" w:rsidR="00C26BA9" w:rsidRPr="00C26BA9" w:rsidRDefault="00A00F93" w:rsidP="00C26BA9">
      <w:pPr>
        <w:pStyle w:val="ListParagraph"/>
        <w:numPr>
          <w:ilvl w:val="0"/>
          <w:numId w:val="1"/>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Adult Safeguarding: Roles and Competencies for Health Care Staff, First edition: August 2018</w:t>
      </w:r>
    </w:p>
    <w:p w14:paraId="5F29CE20" w14:textId="77777777" w:rsidR="00A00F93" w:rsidRPr="00C26BA9" w:rsidRDefault="00A00F93" w:rsidP="00C26BA9">
      <w:pPr>
        <w:pStyle w:val="ListParagraph"/>
        <w:numPr>
          <w:ilvl w:val="0"/>
          <w:numId w:val="1"/>
        </w:numPr>
        <w:spacing w:after="0"/>
        <w:contextualSpacing/>
        <w:rPr>
          <w:rFonts w:ascii="Arial" w:hAnsi="Arial" w:cs="Arial"/>
          <w:color w:val="000000" w:themeColor="text1"/>
          <w:sz w:val="24"/>
          <w:szCs w:val="24"/>
        </w:rPr>
      </w:pPr>
      <w:r w:rsidRPr="00C26BA9">
        <w:rPr>
          <w:rFonts w:ascii="Arial" w:hAnsi="Arial" w:cs="Arial"/>
          <w:color w:val="000000" w:themeColor="text1"/>
          <w:sz w:val="24"/>
          <w:szCs w:val="24"/>
        </w:rPr>
        <w:t>RCGP supplementary guide</w:t>
      </w:r>
      <w:r w:rsidR="004831D9" w:rsidRPr="00C26BA9">
        <w:rPr>
          <w:rFonts w:ascii="Arial" w:hAnsi="Arial" w:cs="Arial"/>
          <w:color w:val="000000" w:themeColor="text1"/>
          <w:sz w:val="24"/>
          <w:szCs w:val="24"/>
        </w:rPr>
        <w:t xml:space="preserve"> –</w:t>
      </w:r>
      <w:r w:rsidR="00C26BA9" w:rsidRPr="00C26BA9">
        <w:rPr>
          <w:rFonts w:ascii="Arial" w:hAnsi="Arial" w:cs="Arial"/>
          <w:color w:val="000000" w:themeColor="text1"/>
          <w:sz w:val="24"/>
          <w:szCs w:val="24"/>
        </w:rPr>
        <w:t xml:space="preserve"> </w:t>
      </w:r>
      <w:hyperlink r:id="rId11" w:history="1">
        <w:r w:rsidR="00C26BA9" w:rsidRPr="00C26BA9">
          <w:rPr>
            <w:rStyle w:val="Hyperlink"/>
            <w:rFonts w:ascii="Arial" w:hAnsi="Arial" w:cs="Arial"/>
            <w:sz w:val="24"/>
            <w:szCs w:val="24"/>
          </w:rPr>
          <w:t>https://www.rcgp.org.uk/-/media/Files/CIRC/Safeguarding/Safeguarding-training-requirements-for-Primary-Care.ashx?la=en</w:t>
        </w:r>
      </w:hyperlink>
    </w:p>
    <w:p w14:paraId="61D5874D" w14:textId="77777777" w:rsidR="00C26BA9" w:rsidRPr="00C26BA9" w:rsidRDefault="00C26BA9" w:rsidP="00C26BA9">
      <w:pPr>
        <w:pStyle w:val="ListParagraph"/>
        <w:spacing w:after="0"/>
        <w:contextualSpacing/>
        <w:rPr>
          <w:rFonts w:ascii="Arial" w:hAnsi="Arial" w:cs="Arial"/>
          <w:color w:val="000000" w:themeColor="text1"/>
          <w:sz w:val="24"/>
          <w:szCs w:val="24"/>
        </w:rPr>
      </w:pPr>
    </w:p>
    <w:p w14:paraId="57B48178" w14:textId="77777777" w:rsidR="00A00F93" w:rsidRPr="00C26BA9" w:rsidRDefault="00A00F93" w:rsidP="00C26BA9">
      <w:pPr>
        <w:spacing w:line="276" w:lineRule="auto"/>
        <w:rPr>
          <w:rFonts w:cs="Arial"/>
          <w:color w:val="000000" w:themeColor="text1"/>
          <w:sz w:val="24"/>
          <w:shd w:val="clear" w:color="auto" w:fill="FFFFFF"/>
          <w:lang w:val="en-GB"/>
        </w:rPr>
      </w:pPr>
      <w:r w:rsidRPr="00C26BA9">
        <w:rPr>
          <w:rFonts w:cs="Arial"/>
          <w:color w:val="000000" w:themeColor="text1"/>
          <w:sz w:val="24"/>
        </w:rPr>
        <w:t>The ICDs and the RCGP supplementary guide refer to a minimum number of hours required for safeguarding training. GP trainees are not expected to reference ‘number of h</w:t>
      </w:r>
      <w:r w:rsidR="00D77CF8" w:rsidRPr="00C26BA9">
        <w:rPr>
          <w:rFonts w:cs="Arial"/>
          <w:color w:val="000000" w:themeColor="text1"/>
          <w:sz w:val="24"/>
        </w:rPr>
        <w:t>ours’ within their learning log. I</w:t>
      </w:r>
      <w:r w:rsidRPr="00C26BA9">
        <w:rPr>
          <w:rFonts w:cs="Arial"/>
          <w:color w:val="000000" w:themeColor="text1"/>
          <w:sz w:val="24"/>
        </w:rPr>
        <w:t>f a trainee demonstrates within each training year a range of participatory and non-participatory learning in both child and adult safeguarding as documented above, this will be considered equivalent.</w:t>
      </w:r>
    </w:p>
    <w:p w14:paraId="42D7B308" w14:textId="77777777" w:rsidR="002051F6" w:rsidRPr="00C26BA9" w:rsidRDefault="002051F6" w:rsidP="00C26BA9">
      <w:pPr>
        <w:rPr>
          <w:sz w:val="24"/>
        </w:rPr>
      </w:pPr>
    </w:p>
    <w:p w14:paraId="67FC1CF6" w14:textId="77777777" w:rsidR="00A00F93" w:rsidRPr="00C26BA9" w:rsidRDefault="00A00F93" w:rsidP="00C26BA9">
      <w:pPr>
        <w:spacing w:line="276" w:lineRule="auto"/>
        <w:rPr>
          <w:sz w:val="24"/>
          <w:u w:val="single"/>
        </w:rPr>
      </w:pPr>
      <w:r w:rsidRPr="00C26BA9">
        <w:rPr>
          <w:sz w:val="24"/>
          <w:u w:val="single"/>
        </w:rPr>
        <w:t>Transition arrangements</w:t>
      </w:r>
    </w:p>
    <w:p w14:paraId="4DEFE827" w14:textId="77777777" w:rsidR="00C26BA9" w:rsidRPr="00C26BA9" w:rsidRDefault="00C26BA9" w:rsidP="00C26BA9">
      <w:pPr>
        <w:spacing w:line="276" w:lineRule="auto"/>
        <w:rPr>
          <w:sz w:val="24"/>
          <w:u w:val="single"/>
        </w:rPr>
      </w:pPr>
    </w:p>
    <w:p w14:paraId="07A9F165" w14:textId="77777777" w:rsidR="00A00F93" w:rsidRPr="00C26BA9" w:rsidRDefault="00A00F93" w:rsidP="00C26BA9">
      <w:pPr>
        <w:spacing w:line="276" w:lineRule="auto"/>
        <w:rPr>
          <w:sz w:val="24"/>
        </w:rPr>
      </w:pPr>
      <w:r w:rsidRPr="00C26BA9">
        <w:rPr>
          <w:sz w:val="24"/>
        </w:rPr>
        <w:t>All trainees need to be made aware of the updated requirements for Child and Adult Safeguarding.</w:t>
      </w:r>
    </w:p>
    <w:p w14:paraId="1D9E5F46" w14:textId="77777777" w:rsidR="00C26BA9" w:rsidRPr="00C26BA9" w:rsidRDefault="00C26BA9" w:rsidP="00C26BA9">
      <w:pPr>
        <w:spacing w:line="276" w:lineRule="auto"/>
        <w:rPr>
          <w:sz w:val="24"/>
        </w:rPr>
      </w:pPr>
    </w:p>
    <w:p w14:paraId="5FB9C104" w14:textId="77777777" w:rsidR="00A00F93" w:rsidRPr="00C26BA9" w:rsidRDefault="00A00F93" w:rsidP="00C26BA9">
      <w:pPr>
        <w:spacing w:line="276" w:lineRule="auto"/>
        <w:rPr>
          <w:sz w:val="24"/>
        </w:rPr>
      </w:pPr>
      <w:r w:rsidRPr="00C26BA9">
        <w:rPr>
          <w:sz w:val="24"/>
        </w:rPr>
        <w:t xml:space="preserve">For trainees who are having ARCP panels in or after June 2020 then the new requirements need to have been completed and visible in the trainee’s </w:t>
      </w:r>
      <w:proofErr w:type="spellStart"/>
      <w:r w:rsidRPr="00C26BA9">
        <w:rPr>
          <w:sz w:val="24"/>
        </w:rPr>
        <w:t>ePortfolio</w:t>
      </w:r>
      <w:proofErr w:type="spellEnd"/>
      <w:r w:rsidRPr="00C26BA9">
        <w:rPr>
          <w:sz w:val="24"/>
        </w:rPr>
        <w:t>. Trainees will be given an Outcome 5 if this information is not present.</w:t>
      </w:r>
    </w:p>
    <w:p w14:paraId="742EA651" w14:textId="77777777" w:rsidR="00A00F93" w:rsidRPr="00C26BA9" w:rsidRDefault="00A00F93" w:rsidP="00C26BA9">
      <w:pPr>
        <w:spacing w:line="276" w:lineRule="auto"/>
        <w:rPr>
          <w:sz w:val="24"/>
        </w:rPr>
      </w:pPr>
    </w:p>
    <w:p w14:paraId="3CAF78E6" w14:textId="77777777" w:rsidR="00A00F93" w:rsidRPr="00C26BA9" w:rsidRDefault="00A00F93" w:rsidP="00C26BA9">
      <w:pPr>
        <w:spacing w:line="276" w:lineRule="auto"/>
        <w:rPr>
          <w:sz w:val="24"/>
        </w:rPr>
      </w:pPr>
      <w:proofErr w:type="spellStart"/>
      <w:r w:rsidRPr="00C26BA9">
        <w:rPr>
          <w:sz w:val="24"/>
        </w:rPr>
        <w:t>Trainee’s</w:t>
      </w:r>
      <w:proofErr w:type="spellEnd"/>
      <w:r w:rsidRPr="00C26BA9">
        <w:rPr>
          <w:sz w:val="24"/>
        </w:rPr>
        <w:t xml:space="preserve"> who have ARCP panels before June 2020 need to comply with the current Child safeguarding requirements. They should equally be encouraged to complete the adult safeguarding requirements but should not be given an Outcome 5 if these are absent.</w:t>
      </w:r>
    </w:p>
    <w:sectPr w:rsidR="00A00F93" w:rsidRPr="00C26BA9" w:rsidSect="00C26BA9">
      <w:headerReference w:type="default" r:id="rId12"/>
      <w:pgSz w:w="11900" w:h="16840"/>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2B6C6" w14:textId="77777777" w:rsidR="00526315" w:rsidRDefault="00526315" w:rsidP="00C26BA9">
      <w:r>
        <w:separator/>
      </w:r>
    </w:p>
  </w:endnote>
  <w:endnote w:type="continuationSeparator" w:id="0">
    <w:p w14:paraId="357347B7" w14:textId="77777777" w:rsidR="00526315" w:rsidRDefault="00526315" w:rsidP="00C2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2DABB" w14:textId="77777777" w:rsidR="00526315" w:rsidRDefault="00526315" w:rsidP="00C26BA9">
      <w:r>
        <w:separator/>
      </w:r>
    </w:p>
  </w:footnote>
  <w:footnote w:type="continuationSeparator" w:id="0">
    <w:p w14:paraId="5248A050" w14:textId="77777777" w:rsidR="00526315" w:rsidRDefault="00526315" w:rsidP="00C26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C12CF" w14:textId="77777777" w:rsidR="00C26BA9" w:rsidRDefault="00C26BA9" w:rsidP="00C26BA9">
    <w:pPr>
      <w:pStyle w:val="Header"/>
      <w:ind w:right="-1339"/>
      <w:jc w:val="right"/>
    </w:pPr>
    <w:r>
      <w:rPr>
        <w:noProof/>
        <w:lang w:val="en-GB" w:eastAsia="en-GB"/>
      </w:rPr>
      <w:drawing>
        <wp:inline distT="0" distB="0" distL="0" distR="0" wp14:anchorId="5D70A3D4" wp14:editId="4549F2C7">
          <wp:extent cx="2806065" cy="93408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065" cy="934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85"/>
    <w:multiLevelType w:val="hybridMultilevel"/>
    <w:tmpl w:val="CB5A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C33E6B"/>
    <w:multiLevelType w:val="hybridMultilevel"/>
    <w:tmpl w:val="C0B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B0710F"/>
    <w:multiLevelType w:val="hybridMultilevel"/>
    <w:tmpl w:val="3856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93"/>
    <w:rsid w:val="002051F6"/>
    <w:rsid w:val="004831D9"/>
    <w:rsid w:val="00526315"/>
    <w:rsid w:val="00684D50"/>
    <w:rsid w:val="006E0A1F"/>
    <w:rsid w:val="00A00F93"/>
    <w:rsid w:val="00A32054"/>
    <w:rsid w:val="00C26BA9"/>
    <w:rsid w:val="00D77CF8"/>
    <w:rsid w:val="00E92584"/>
    <w:rsid w:val="00F3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F392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93"/>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93"/>
    <w:pPr>
      <w:spacing w:after="200" w:line="276" w:lineRule="auto"/>
      <w:ind w:left="720"/>
    </w:pPr>
    <w:rPr>
      <w:rFonts w:ascii="Calibri" w:hAnsi="Calibri" w:cs="Calibri"/>
      <w:szCs w:val="22"/>
      <w:lang w:val="en-GB"/>
    </w:rPr>
  </w:style>
  <w:style w:type="paragraph" w:styleId="NormalWeb">
    <w:name w:val="Normal (Web)"/>
    <w:basedOn w:val="Normal"/>
    <w:uiPriority w:val="99"/>
    <w:rsid w:val="00A00F93"/>
    <w:rPr>
      <w:rFonts w:cs="Arial"/>
      <w:color w:val="003366"/>
      <w:sz w:val="20"/>
      <w:szCs w:val="20"/>
      <w:lang w:val="en-GB" w:eastAsia="en-GB"/>
    </w:rPr>
  </w:style>
  <w:style w:type="character" w:styleId="Hyperlink">
    <w:name w:val="Hyperlink"/>
    <w:basedOn w:val="DefaultParagraphFont"/>
    <w:uiPriority w:val="99"/>
    <w:semiHidden/>
    <w:unhideWhenUsed/>
    <w:rsid w:val="00C26BA9"/>
    <w:rPr>
      <w:color w:val="0000FF"/>
      <w:u w:val="single"/>
    </w:rPr>
  </w:style>
  <w:style w:type="paragraph" w:styleId="Header">
    <w:name w:val="header"/>
    <w:basedOn w:val="Normal"/>
    <w:link w:val="HeaderChar"/>
    <w:uiPriority w:val="99"/>
    <w:unhideWhenUsed/>
    <w:rsid w:val="00C26BA9"/>
    <w:pPr>
      <w:tabs>
        <w:tab w:val="center" w:pos="4513"/>
        <w:tab w:val="right" w:pos="9026"/>
      </w:tabs>
    </w:pPr>
  </w:style>
  <w:style w:type="character" w:customStyle="1" w:styleId="HeaderChar">
    <w:name w:val="Header Char"/>
    <w:basedOn w:val="DefaultParagraphFont"/>
    <w:link w:val="Header"/>
    <w:uiPriority w:val="99"/>
    <w:rsid w:val="00C26BA9"/>
    <w:rPr>
      <w:rFonts w:ascii="Arial" w:eastAsia="Times New Roman" w:hAnsi="Arial" w:cs="Times New Roman"/>
      <w:sz w:val="22"/>
    </w:rPr>
  </w:style>
  <w:style w:type="paragraph" w:styleId="Footer">
    <w:name w:val="footer"/>
    <w:basedOn w:val="Normal"/>
    <w:link w:val="FooterChar"/>
    <w:uiPriority w:val="99"/>
    <w:unhideWhenUsed/>
    <w:rsid w:val="00C26BA9"/>
    <w:pPr>
      <w:tabs>
        <w:tab w:val="center" w:pos="4513"/>
        <w:tab w:val="right" w:pos="9026"/>
      </w:tabs>
    </w:pPr>
  </w:style>
  <w:style w:type="character" w:customStyle="1" w:styleId="FooterChar">
    <w:name w:val="Footer Char"/>
    <w:basedOn w:val="DefaultParagraphFont"/>
    <w:link w:val="Footer"/>
    <w:uiPriority w:val="99"/>
    <w:rsid w:val="00C26BA9"/>
    <w:rPr>
      <w:rFonts w:ascii="Arial" w:eastAsia="Times New Roman" w:hAnsi="Arial" w:cs="Times New Roman"/>
      <w:sz w:val="22"/>
    </w:rPr>
  </w:style>
  <w:style w:type="paragraph" w:styleId="BalloonText">
    <w:name w:val="Balloon Text"/>
    <w:basedOn w:val="Normal"/>
    <w:link w:val="BalloonTextChar"/>
    <w:uiPriority w:val="99"/>
    <w:semiHidden/>
    <w:unhideWhenUsed/>
    <w:rsid w:val="006E0A1F"/>
    <w:rPr>
      <w:rFonts w:ascii="Tahoma" w:hAnsi="Tahoma" w:cs="Tahoma"/>
      <w:sz w:val="16"/>
      <w:szCs w:val="16"/>
    </w:rPr>
  </w:style>
  <w:style w:type="character" w:customStyle="1" w:styleId="BalloonTextChar">
    <w:name w:val="Balloon Text Char"/>
    <w:basedOn w:val="DefaultParagraphFont"/>
    <w:link w:val="BalloonText"/>
    <w:uiPriority w:val="99"/>
    <w:semiHidden/>
    <w:rsid w:val="006E0A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93"/>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93"/>
    <w:pPr>
      <w:spacing w:after="200" w:line="276" w:lineRule="auto"/>
      <w:ind w:left="720"/>
    </w:pPr>
    <w:rPr>
      <w:rFonts w:ascii="Calibri" w:hAnsi="Calibri" w:cs="Calibri"/>
      <w:szCs w:val="22"/>
      <w:lang w:val="en-GB"/>
    </w:rPr>
  </w:style>
  <w:style w:type="paragraph" w:styleId="NormalWeb">
    <w:name w:val="Normal (Web)"/>
    <w:basedOn w:val="Normal"/>
    <w:uiPriority w:val="99"/>
    <w:rsid w:val="00A00F93"/>
    <w:rPr>
      <w:rFonts w:cs="Arial"/>
      <w:color w:val="003366"/>
      <w:sz w:val="20"/>
      <w:szCs w:val="20"/>
      <w:lang w:val="en-GB" w:eastAsia="en-GB"/>
    </w:rPr>
  </w:style>
  <w:style w:type="character" w:styleId="Hyperlink">
    <w:name w:val="Hyperlink"/>
    <w:basedOn w:val="DefaultParagraphFont"/>
    <w:uiPriority w:val="99"/>
    <w:semiHidden/>
    <w:unhideWhenUsed/>
    <w:rsid w:val="00C26BA9"/>
    <w:rPr>
      <w:color w:val="0000FF"/>
      <w:u w:val="single"/>
    </w:rPr>
  </w:style>
  <w:style w:type="paragraph" w:styleId="Header">
    <w:name w:val="header"/>
    <w:basedOn w:val="Normal"/>
    <w:link w:val="HeaderChar"/>
    <w:uiPriority w:val="99"/>
    <w:unhideWhenUsed/>
    <w:rsid w:val="00C26BA9"/>
    <w:pPr>
      <w:tabs>
        <w:tab w:val="center" w:pos="4513"/>
        <w:tab w:val="right" w:pos="9026"/>
      </w:tabs>
    </w:pPr>
  </w:style>
  <w:style w:type="character" w:customStyle="1" w:styleId="HeaderChar">
    <w:name w:val="Header Char"/>
    <w:basedOn w:val="DefaultParagraphFont"/>
    <w:link w:val="Header"/>
    <w:uiPriority w:val="99"/>
    <w:rsid w:val="00C26BA9"/>
    <w:rPr>
      <w:rFonts w:ascii="Arial" w:eastAsia="Times New Roman" w:hAnsi="Arial" w:cs="Times New Roman"/>
      <w:sz w:val="22"/>
    </w:rPr>
  </w:style>
  <w:style w:type="paragraph" w:styleId="Footer">
    <w:name w:val="footer"/>
    <w:basedOn w:val="Normal"/>
    <w:link w:val="FooterChar"/>
    <w:uiPriority w:val="99"/>
    <w:unhideWhenUsed/>
    <w:rsid w:val="00C26BA9"/>
    <w:pPr>
      <w:tabs>
        <w:tab w:val="center" w:pos="4513"/>
        <w:tab w:val="right" w:pos="9026"/>
      </w:tabs>
    </w:pPr>
  </w:style>
  <w:style w:type="character" w:customStyle="1" w:styleId="FooterChar">
    <w:name w:val="Footer Char"/>
    <w:basedOn w:val="DefaultParagraphFont"/>
    <w:link w:val="Footer"/>
    <w:uiPriority w:val="99"/>
    <w:rsid w:val="00C26BA9"/>
    <w:rPr>
      <w:rFonts w:ascii="Arial" w:eastAsia="Times New Roman" w:hAnsi="Arial" w:cs="Times New Roman"/>
      <w:sz w:val="22"/>
    </w:rPr>
  </w:style>
  <w:style w:type="paragraph" w:styleId="BalloonText">
    <w:name w:val="Balloon Text"/>
    <w:basedOn w:val="Normal"/>
    <w:link w:val="BalloonTextChar"/>
    <w:uiPriority w:val="99"/>
    <w:semiHidden/>
    <w:unhideWhenUsed/>
    <w:rsid w:val="006E0A1F"/>
    <w:rPr>
      <w:rFonts w:ascii="Tahoma" w:hAnsi="Tahoma" w:cs="Tahoma"/>
      <w:sz w:val="16"/>
      <w:szCs w:val="16"/>
    </w:rPr>
  </w:style>
  <w:style w:type="character" w:customStyle="1" w:styleId="BalloonTextChar">
    <w:name w:val="Balloon Text Char"/>
    <w:basedOn w:val="DefaultParagraphFont"/>
    <w:link w:val="BalloonText"/>
    <w:uiPriority w:val="99"/>
    <w:semiHidden/>
    <w:rsid w:val="006E0A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rcgp.org.uk/-/media/Files/CIRC/Safeguarding/Safeguarding-training-requirements-for-Primary-Care.ashx?la=en"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B881897A9D24398B658D2EA28CA9D" ma:contentTypeVersion="11" ma:contentTypeDescription="Create a new document." ma:contentTypeScope="" ma:versionID="38e826f9d46d9c12ed224bdaa01375e8">
  <xsd:schema xmlns:xsd="http://www.w3.org/2001/XMLSchema" xmlns:xs="http://www.w3.org/2001/XMLSchema" xmlns:p="http://schemas.microsoft.com/office/2006/metadata/properties" xmlns:ns3="fc3b0b59-c768-4541-9ca6-95c4f2affefc" xmlns:ns4="d09739dc-8138-4b49-a424-ac3efc6af996" targetNamespace="http://schemas.microsoft.com/office/2006/metadata/properties" ma:root="true" ma:fieldsID="1ced826f7c078ab85fe3d16db9e8d300" ns3:_="" ns4:_="">
    <xsd:import namespace="fc3b0b59-c768-4541-9ca6-95c4f2affefc"/>
    <xsd:import namespace="d09739dc-8138-4b49-a424-ac3efc6af9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0b59-c768-4541-9ca6-95c4f2affe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739dc-8138-4b49-a424-ac3efc6af99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E82D4-44E4-4E81-9413-3F8F8200D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0b59-c768-4541-9ca6-95c4f2affefc"/>
    <ds:schemaRef ds:uri="d09739dc-8138-4b49-a424-ac3efc6a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2CBC1-34A1-4EAF-9CF3-5A0350532283}">
  <ds:schemaRefs>
    <ds:schemaRef ds:uri="http://schemas.microsoft.com/sharepoint/v3/contenttype/forms"/>
  </ds:schemaRefs>
</ds:datastoreItem>
</file>

<file path=customXml/itemProps3.xml><?xml version="1.0" encoding="utf-8"?>
<ds:datastoreItem xmlns:ds="http://schemas.openxmlformats.org/officeDocument/2006/customXml" ds:itemID="{55220947-FB86-4741-A482-537665265BEB}">
  <ds:schemaRefs>
    <ds:schemaRef ds:uri="http://purl.org/dc/elements/1.1/"/>
    <ds:schemaRef ds:uri="http://purl.org/dc/terms/"/>
    <ds:schemaRef ds:uri="http://schemas.microsoft.com/office/2006/documentManagement/types"/>
    <ds:schemaRef ds:uri="http://schemas.microsoft.com/office/infopath/2007/PartnerControls"/>
    <ds:schemaRef ds:uri="fc3b0b59-c768-4541-9ca6-95c4f2affefc"/>
    <ds:schemaRef ds:uri="http://schemas.microsoft.com/office/2006/metadata/properties"/>
    <ds:schemaRef ds:uri="http://www.w3.org/XML/1998/namespace"/>
    <ds:schemaRef ds:uri="http://schemas.openxmlformats.org/package/2006/metadata/core-properties"/>
    <ds:schemaRef ds:uri="d09739dc-8138-4b49-a424-ac3efc6af99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FE8B3488</Template>
  <TotalTime>3</TotalTime>
  <Pages>3</Pages>
  <Words>802</Words>
  <Characters>4573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HWPH-TR</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Bodgener</dc:creator>
  <cp:lastModifiedBy>David Taylor - Training &amp; Development Co-ordinator</cp:lastModifiedBy>
  <cp:revision>2</cp:revision>
  <dcterms:created xsi:type="dcterms:W3CDTF">2019-11-05T10:12:00Z</dcterms:created>
  <dcterms:modified xsi:type="dcterms:W3CDTF">2019-11-05T10:12:00Z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0x01010010CB881897A9D24398B658D2EA28CA9D</vt:lpwstr>
  </property>
</Properties>
</file>