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3C4AEE55" w:rsidR="00CF1595" w:rsidRPr="00106050" w:rsidRDefault="0F7E7576" w:rsidP="0BE3084C">
      <w:pPr>
        <w:pStyle w:val="Heading1"/>
        <w:rPr>
          <w:rFonts w:ascii="Lato" w:hAnsi="Lato"/>
        </w:rPr>
      </w:pPr>
      <w:bookmarkStart w:id="0" w:name="_GoBack"/>
      <w:bookmarkEnd w:id="0"/>
      <w:r w:rsidRPr="00106050">
        <w:rPr>
          <w:rFonts w:ascii="Lato" w:hAnsi="Lato"/>
        </w:rPr>
        <w:t xml:space="preserve">Top tips to help your </w:t>
      </w:r>
      <w:r w:rsidR="54D5CF62" w:rsidRPr="00106050">
        <w:rPr>
          <w:rFonts w:ascii="Lato" w:hAnsi="Lato"/>
        </w:rPr>
        <w:t>trainee to prepare for the RCA - an educator guide</w:t>
      </w:r>
    </w:p>
    <w:p w14:paraId="426418F0" w14:textId="26FC3AC6" w:rsidR="0BE3084C" w:rsidRPr="00106050" w:rsidRDefault="0BE3084C" w:rsidP="0BE3084C">
      <w:pPr>
        <w:rPr>
          <w:rFonts w:ascii="Lato" w:hAnsi="Lato"/>
        </w:rPr>
      </w:pPr>
    </w:p>
    <w:p w14:paraId="4C12E2D0" w14:textId="3EA0B278" w:rsidR="00592501" w:rsidRPr="00106050" w:rsidRDefault="00592501" w:rsidP="0001450A">
      <w:pPr>
        <w:pStyle w:val="ListParagraph"/>
        <w:numPr>
          <w:ilvl w:val="0"/>
          <w:numId w:val="2"/>
        </w:numPr>
        <w:spacing w:after="120"/>
        <w:ind w:left="357" w:hanging="357"/>
        <w:contextualSpacing w:val="0"/>
        <w:rPr>
          <w:rFonts w:ascii="Lato" w:hAnsi="Lato"/>
          <w:b/>
          <w:bCs/>
        </w:rPr>
      </w:pPr>
      <w:r w:rsidRPr="00106050">
        <w:rPr>
          <w:rFonts w:ascii="Lato" w:hAnsi="Lato"/>
          <w:b/>
          <w:bCs/>
        </w:rPr>
        <w:t xml:space="preserve">START EARLY - </w:t>
      </w:r>
      <w:r w:rsidRPr="00106050">
        <w:rPr>
          <w:rFonts w:ascii="Lato" w:hAnsi="Lato"/>
        </w:rPr>
        <w:t>Encourage the trainee to start recording as early as possible, so that they get into the swing of it</w:t>
      </w:r>
    </w:p>
    <w:p w14:paraId="35EB7C36" w14:textId="086F5307" w:rsidR="002357D1" w:rsidRPr="00106050" w:rsidRDefault="002357D1" w:rsidP="0001450A">
      <w:pPr>
        <w:pStyle w:val="ListParagraph"/>
        <w:numPr>
          <w:ilvl w:val="0"/>
          <w:numId w:val="2"/>
        </w:numPr>
        <w:spacing w:after="120"/>
        <w:ind w:left="357" w:hanging="357"/>
        <w:contextualSpacing w:val="0"/>
        <w:rPr>
          <w:rFonts w:ascii="Lato" w:hAnsi="Lato"/>
          <w:b/>
          <w:bCs/>
        </w:rPr>
      </w:pPr>
      <w:r w:rsidRPr="00106050">
        <w:rPr>
          <w:rFonts w:ascii="Lato" w:hAnsi="Lato"/>
          <w:b/>
          <w:bCs/>
        </w:rPr>
        <w:t xml:space="preserve">HELP WITH THE TECHNOLOGY – </w:t>
      </w:r>
      <w:r w:rsidRPr="00106050">
        <w:rPr>
          <w:rFonts w:ascii="Lato" w:hAnsi="Lato"/>
        </w:rPr>
        <w:t>Does the trainee have everything they need to record</w:t>
      </w:r>
      <w:r w:rsidR="00F66EAF" w:rsidRPr="00106050">
        <w:rPr>
          <w:rFonts w:ascii="Lato" w:hAnsi="Lato"/>
        </w:rPr>
        <w:t xml:space="preserve"> e.g. webcam, all necessary tech</w:t>
      </w:r>
      <w:r w:rsidR="002973BA" w:rsidRPr="00106050">
        <w:rPr>
          <w:rFonts w:ascii="Lato" w:hAnsi="Lato"/>
        </w:rPr>
        <w:t xml:space="preserve"> </w:t>
      </w:r>
      <w:r w:rsidR="00A77CA4" w:rsidRPr="00106050">
        <w:rPr>
          <w:rFonts w:ascii="Lato" w:hAnsi="Lato"/>
        </w:rPr>
        <w:t>(</w:t>
      </w:r>
      <w:r w:rsidR="00F66EAF" w:rsidRPr="00106050">
        <w:rPr>
          <w:rFonts w:ascii="Lato" w:hAnsi="Lato"/>
        </w:rPr>
        <w:t xml:space="preserve">particularly if they are </w:t>
      </w:r>
      <w:r w:rsidR="002973BA" w:rsidRPr="00106050">
        <w:rPr>
          <w:rFonts w:ascii="Lato" w:hAnsi="Lato"/>
        </w:rPr>
        <w:t>remote working</w:t>
      </w:r>
      <w:r w:rsidR="00A77CA4" w:rsidRPr="00106050">
        <w:rPr>
          <w:rFonts w:ascii="Lato" w:hAnsi="Lato"/>
        </w:rPr>
        <w:t>), awareness of information governance issues of recording/storing consultations?</w:t>
      </w:r>
    </w:p>
    <w:p w14:paraId="24B0985F" w14:textId="5CEB5B1A" w:rsidR="00F45AD8" w:rsidRPr="00106050" w:rsidRDefault="40A27B0E" w:rsidP="0001450A">
      <w:pPr>
        <w:pStyle w:val="ListParagraph"/>
        <w:numPr>
          <w:ilvl w:val="0"/>
          <w:numId w:val="2"/>
        </w:numPr>
        <w:spacing w:after="120"/>
        <w:ind w:left="357" w:hanging="357"/>
        <w:contextualSpacing w:val="0"/>
        <w:rPr>
          <w:rFonts w:ascii="Lato" w:eastAsiaTheme="minorEastAsia" w:hAnsi="Lato"/>
        </w:rPr>
      </w:pPr>
      <w:r w:rsidRPr="00106050">
        <w:rPr>
          <w:rFonts w:ascii="Lato" w:hAnsi="Lato"/>
          <w:b/>
          <w:bCs/>
        </w:rPr>
        <w:t>GET THE RIGHT CASES</w:t>
      </w:r>
      <w:r w:rsidRPr="00106050">
        <w:rPr>
          <w:rFonts w:ascii="Lato" w:hAnsi="Lato"/>
        </w:rPr>
        <w:t xml:space="preserve"> - </w:t>
      </w:r>
      <w:r w:rsidR="18FB3FD9" w:rsidRPr="00106050">
        <w:rPr>
          <w:rFonts w:ascii="Lato" w:hAnsi="Lato"/>
        </w:rPr>
        <w:t>Advise them on accessing the right sort of patients and consultations to maximise chances of getting useable consultations</w:t>
      </w:r>
    </w:p>
    <w:p w14:paraId="58910024" w14:textId="343573C6" w:rsidR="00993841" w:rsidRPr="00106050" w:rsidRDefault="00993841" w:rsidP="0001450A">
      <w:pPr>
        <w:pStyle w:val="ListParagraph"/>
        <w:numPr>
          <w:ilvl w:val="1"/>
          <w:numId w:val="2"/>
        </w:numPr>
        <w:spacing w:after="120"/>
        <w:ind w:left="1077"/>
        <w:rPr>
          <w:rFonts w:ascii="Lato" w:hAnsi="Lato"/>
        </w:rPr>
      </w:pPr>
      <w:r w:rsidRPr="00106050">
        <w:rPr>
          <w:rFonts w:ascii="Lato" w:hAnsi="Lato"/>
        </w:rPr>
        <w:t xml:space="preserve">Cases submitted should be of an appropriate level of challenge </w:t>
      </w:r>
      <w:r w:rsidR="007A4716" w:rsidRPr="00106050">
        <w:rPr>
          <w:rFonts w:ascii="Lato" w:hAnsi="Lato"/>
        </w:rPr>
        <w:t xml:space="preserve">sufficient </w:t>
      </w:r>
      <w:r w:rsidRPr="00106050">
        <w:rPr>
          <w:rFonts w:ascii="Lato" w:hAnsi="Lato"/>
        </w:rPr>
        <w:t>to demonstrate safe and independent practice</w:t>
      </w:r>
      <w:r w:rsidR="00B1004E" w:rsidRPr="00106050">
        <w:rPr>
          <w:rFonts w:ascii="Lato" w:hAnsi="Lato"/>
        </w:rPr>
        <w:t>. See Appendix 1</w:t>
      </w:r>
      <w:r w:rsidRPr="00106050">
        <w:rPr>
          <w:rFonts w:ascii="Lato" w:hAnsi="Lato"/>
        </w:rPr>
        <w:t xml:space="preserve"> </w:t>
      </w:r>
    </w:p>
    <w:p w14:paraId="4DBF5ACA" w14:textId="77777777" w:rsidR="00993841" w:rsidRPr="00106050" w:rsidRDefault="00993841" w:rsidP="0001450A">
      <w:pPr>
        <w:pStyle w:val="ListParagraph"/>
        <w:numPr>
          <w:ilvl w:val="1"/>
          <w:numId w:val="2"/>
        </w:numPr>
        <w:spacing w:after="120"/>
        <w:ind w:left="1077"/>
        <w:rPr>
          <w:rFonts w:ascii="Lato" w:hAnsi="Lato"/>
        </w:rPr>
      </w:pPr>
      <w:r w:rsidRPr="00106050">
        <w:rPr>
          <w:rFonts w:ascii="Lato" w:hAnsi="Lato"/>
        </w:rPr>
        <w:t xml:space="preserve">Encourage trainees to demonstrate their skills across a breadth of the curriculum </w:t>
      </w:r>
    </w:p>
    <w:p w14:paraId="410ADEEF" w14:textId="77777777" w:rsidR="00993841" w:rsidRPr="00106050" w:rsidRDefault="00993841" w:rsidP="0001450A">
      <w:pPr>
        <w:pStyle w:val="ListParagraph"/>
        <w:numPr>
          <w:ilvl w:val="1"/>
          <w:numId w:val="2"/>
        </w:numPr>
        <w:spacing w:after="120"/>
        <w:ind w:left="1077"/>
        <w:rPr>
          <w:rFonts w:ascii="Lato" w:hAnsi="Lato"/>
        </w:rPr>
      </w:pPr>
      <w:r w:rsidRPr="00106050">
        <w:rPr>
          <w:rFonts w:ascii="Lato" w:hAnsi="Lato"/>
        </w:rPr>
        <w:t>Ensure there is sufficient evidence in all 3 domains for the assessment</w:t>
      </w:r>
    </w:p>
    <w:p w14:paraId="092F7A05" w14:textId="2FDF9625" w:rsidR="00F45AD8" w:rsidRPr="00106050" w:rsidRDefault="6699345C" w:rsidP="0001450A">
      <w:pPr>
        <w:pStyle w:val="ListParagraph"/>
        <w:numPr>
          <w:ilvl w:val="1"/>
          <w:numId w:val="2"/>
        </w:numPr>
        <w:spacing w:after="120"/>
        <w:ind w:left="1077" w:hanging="357"/>
        <w:rPr>
          <w:rFonts w:ascii="Lato" w:hAnsi="Lato"/>
        </w:rPr>
      </w:pPr>
      <w:r w:rsidRPr="00106050">
        <w:rPr>
          <w:rFonts w:ascii="Lato" w:hAnsi="Lato"/>
        </w:rPr>
        <w:t>Reception/admin staff need to be ‘on board’ and know what is happening</w:t>
      </w:r>
    </w:p>
    <w:p w14:paraId="2A71C1B6" w14:textId="435B7E29" w:rsidR="00F45AD8" w:rsidRPr="00106050" w:rsidRDefault="18FB3FD9" w:rsidP="0001450A">
      <w:pPr>
        <w:pStyle w:val="ListParagraph"/>
        <w:numPr>
          <w:ilvl w:val="1"/>
          <w:numId w:val="2"/>
        </w:numPr>
        <w:spacing w:after="120"/>
        <w:ind w:left="1077" w:hanging="357"/>
        <w:rPr>
          <w:rFonts w:ascii="Lato" w:hAnsi="Lato"/>
        </w:rPr>
      </w:pPr>
      <w:r w:rsidRPr="00106050">
        <w:rPr>
          <w:rFonts w:ascii="Lato" w:hAnsi="Lato"/>
        </w:rPr>
        <w:t>Engage reception/triage clinician to only book appropriate cases</w:t>
      </w:r>
    </w:p>
    <w:p w14:paraId="2803CE53" w14:textId="350F216A" w:rsidR="00567215" w:rsidRPr="00106050" w:rsidRDefault="00567215" w:rsidP="0001450A">
      <w:pPr>
        <w:pStyle w:val="ListParagraph"/>
        <w:numPr>
          <w:ilvl w:val="1"/>
          <w:numId w:val="2"/>
        </w:numPr>
        <w:spacing w:after="120"/>
        <w:ind w:left="1077" w:hanging="357"/>
        <w:rPr>
          <w:rFonts w:ascii="Lato" w:hAnsi="Lato"/>
        </w:rPr>
      </w:pPr>
      <w:r w:rsidRPr="00106050">
        <w:rPr>
          <w:rFonts w:ascii="Lato" w:hAnsi="Lato"/>
        </w:rPr>
        <w:t>Simple triage consultations are unlikely to cover all three domains</w:t>
      </w:r>
    </w:p>
    <w:p w14:paraId="0DCF2A43" w14:textId="5E9330F6" w:rsidR="00F45AD8" w:rsidRPr="00106050" w:rsidRDefault="0C92B8B3" w:rsidP="0001450A">
      <w:pPr>
        <w:pStyle w:val="ListParagraph"/>
        <w:numPr>
          <w:ilvl w:val="1"/>
          <w:numId w:val="2"/>
        </w:numPr>
        <w:spacing w:after="120"/>
        <w:ind w:left="1077" w:hanging="357"/>
        <w:rPr>
          <w:rFonts w:ascii="Lato" w:hAnsi="Lato"/>
        </w:rPr>
      </w:pPr>
      <w:r w:rsidRPr="00106050">
        <w:rPr>
          <w:rFonts w:ascii="Lato" w:hAnsi="Lato"/>
        </w:rPr>
        <w:t xml:space="preserve">Give trainee permission to </w:t>
      </w:r>
      <w:r w:rsidR="678D94AC" w:rsidRPr="00106050">
        <w:rPr>
          <w:rFonts w:ascii="Lato" w:hAnsi="Lato"/>
        </w:rPr>
        <w:t xml:space="preserve">‘be selfish’ and </w:t>
      </w:r>
      <w:r w:rsidR="55589075" w:rsidRPr="00106050">
        <w:rPr>
          <w:rFonts w:ascii="Lato" w:hAnsi="Lato"/>
        </w:rPr>
        <w:t>pick</w:t>
      </w:r>
      <w:r w:rsidR="68AFAAC2" w:rsidRPr="00106050">
        <w:rPr>
          <w:rFonts w:ascii="Lato" w:hAnsi="Lato"/>
        </w:rPr>
        <w:t xml:space="preserve"> </w:t>
      </w:r>
      <w:r w:rsidR="55589075" w:rsidRPr="00106050">
        <w:rPr>
          <w:rFonts w:ascii="Lato" w:hAnsi="Lato"/>
        </w:rPr>
        <w:t xml:space="preserve">appropriate cases off </w:t>
      </w:r>
      <w:r w:rsidR="41022E09" w:rsidRPr="00106050">
        <w:rPr>
          <w:rFonts w:ascii="Lato" w:hAnsi="Lato"/>
        </w:rPr>
        <w:t>other clinicians list</w:t>
      </w:r>
    </w:p>
    <w:p w14:paraId="4FCA3598" w14:textId="142DB879" w:rsidR="005108C2" w:rsidRPr="00106050" w:rsidRDefault="005108C2" w:rsidP="0001450A">
      <w:pPr>
        <w:pStyle w:val="ListParagraph"/>
        <w:numPr>
          <w:ilvl w:val="1"/>
          <w:numId w:val="2"/>
        </w:numPr>
        <w:spacing w:after="120"/>
        <w:ind w:left="1077" w:hanging="357"/>
        <w:rPr>
          <w:rFonts w:ascii="Lato" w:hAnsi="Lato"/>
        </w:rPr>
      </w:pPr>
      <w:r w:rsidRPr="00106050">
        <w:rPr>
          <w:rFonts w:ascii="Lato" w:hAnsi="Lato"/>
        </w:rPr>
        <w:t>Problems that are new to the trainee are more likely to be suitable for submission</w:t>
      </w:r>
    </w:p>
    <w:p w14:paraId="6420AE0E" w14:textId="6BB51E75" w:rsidR="00F45AD8" w:rsidRPr="00106050" w:rsidRDefault="55589075" w:rsidP="0001450A">
      <w:pPr>
        <w:pStyle w:val="ListParagraph"/>
        <w:numPr>
          <w:ilvl w:val="1"/>
          <w:numId w:val="2"/>
        </w:numPr>
        <w:spacing w:after="120"/>
        <w:ind w:left="1077" w:hanging="357"/>
        <w:rPr>
          <w:rFonts w:ascii="Lato" w:hAnsi="Lato"/>
        </w:rPr>
      </w:pPr>
      <w:r w:rsidRPr="00106050">
        <w:rPr>
          <w:rFonts w:ascii="Lato" w:hAnsi="Lato"/>
        </w:rPr>
        <w:t>Get other clinicians on board and involved with swapping of appropriate cases</w:t>
      </w:r>
    </w:p>
    <w:p w14:paraId="0811B9FC" w14:textId="348C95AA" w:rsidR="00A44FAA" w:rsidRPr="00106050" w:rsidRDefault="00A44FAA" w:rsidP="0001450A">
      <w:pPr>
        <w:pStyle w:val="ListParagraph"/>
        <w:numPr>
          <w:ilvl w:val="1"/>
          <w:numId w:val="2"/>
        </w:numPr>
        <w:ind w:left="1077"/>
        <w:rPr>
          <w:rFonts w:ascii="Lato" w:hAnsi="Lato"/>
        </w:rPr>
      </w:pPr>
      <w:r w:rsidRPr="00106050">
        <w:rPr>
          <w:rFonts w:ascii="Lato" w:hAnsi="Lato"/>
        </w:rPr>
        <w:t>If individual GP surgeries offer pre-triage or electronic navigation prior to a consultation</w:t>
      </w:r>
      <w:r w:rsidR="005108C2" w:rsidRPr="00106050">
        <w:rPr>
          <w:rFonts w:ascii="Lato" w:hAnsi="Lato"/>
        </w:rPr>
        <w:t>,</w:t>
      </w:r>
      <w:r w:rsidRPr="00106050">
        <w:rPr>
          <w:rFonts w:ascii="Lato" w:hAnsi="Lato"/>
        </w:rPr>
        <w:t xml:space="preserve"> ensure this isn’t detrimental to the consultation and </w:t>
      </w:r>
      <w:r w:rsidR="005108C2" w:rsidRPr="00106050">
        <w:rPr>
          <w:rFonts w:ascii="Lato" w:hAnsi="Lato"/>
        </w:rPr>
        <w:t xml:space="preserve">use </w:t>
      </w:r>
      <w:r w:rsidRPr="00106050">
        <w:rPr>
          <w:rFonts w:ascii="Lato" w:hAnsi="Lato"/>
        </w:rPr>
        <w:t xml:space="preserve">these systems to ensure appropriate case exposure </w:t>
      </w:r>
    </w:p>
    <w:p w14:paraId="69E6FEA4" w14:textId="5A266F7E" w:rsidR="00F45AD8" w:rsidRPr="00106050" w:rsidRDefault="18FB3FD9" w:rsidP="0001450A">
      <w:pPr>
        <w:pStyle w:val="ListParagraph"/>
        <w:numPr>
          <w:ilvl w:val="1"/>
          <w:numId w:val="2"/>
        </w:numPr>
        <w:spacing w:after="120"/>
        <w:ind w:left="1077" w:hanging="357"/>
        <w:rPr>
          <w:rFonts w:ascii="Lato" w:eastAsiaTheme="minorEastAsia" w:hAnsi="Lato"/>
        </w:rPr>
      </w:pPr>
      <w:r w:rsidRPr="00106050">
        <w:rPr>
          <w:rFonts w:ascii="Lato" w:eastAsia="Calibri" w:hAnsi="Lato" w:cs="Calibri"/>
        </w:rPr>
        <w:t>If possible</w:t>
      </w:r>
      <w:r w:rsidR="00993841" w:rsidRPr="00106050">
        <w:rPr>
          <w:rFonts w:ascii="Lato" w:eastAsia="Calibri" w:hAnsi="Lato" w:cs="Calibri"/>
        </w:rPr>
        <w:t>,</w:t>
      </w:r>
      <w:r w:rsidRPr="00106050">
        <w:rPr>
          <w:rFonts w:ascii="Lato" w:eastAsia="Calibri" w:hAnsi="Lato" w:cs="Calibri"/>
        </w:rPr>
        <w:t xml:space="preserve"> only book willing/consenting patients to maximise opportunity. </w:t>
      </w:r>
    </w:p>
    <w:p w14:paraId="0C802D1D" w14:textId="77777777" w:rsidR="00CF32E8" w:rsidRDefault="429D7E32" w:rsidP="00CF32E8">
      <w:pPr>
        <w:pStyle w:val="ListParagraph"/>
        <w:numPr>
          <w:ilvl w:val="1"/>
          <w:numId w:val="2"/>
        </w:numPr>
        <w:spacing w:after="120"/>
        <w:ind w:left="1077" w:hanging="357"/>
        <w:rPr>
          <w:rFonts w:ascii="Lato" w:hAnsi="Lato"/>
        </w:rPr>
      </w:pPr>
      <w:r w:rsidRPr="00106050">
        <w:rPr>
          <w:rFonts w:ascii="Lato" w:hAnsi="Lato"/>
        </w:rPr>
        <w:t>Make sure patients know that the call may come from a withheld or unrecognised number</w:t>
      </w:r>
      <w:bookmarkStart w:id="1" w:name="_Hlk47098719"/>
    </w:p>
    <w:p w14:paraId="6B647A4C" w14:textId="787DC875" w:rsidR="00462D69" w:rsidRPr="00CF32E8" w:rsidRDefault="1A5CDBAD" w:rsidP="00CF32E8">
      <w:pPr>
        <w:pStyle w:val="ListParagraph"/>
        <w:numPr>
          <w:ilvl w:val="1"/>
          <w:numId w:val="2"/>
        </w:numPr>
        <w:spacing w:after="120"/>
        <w:ind w:left="1077" w:hanging="357"/>
        <w:rPr>
          <w:rFonts w:ascii="Lato" w:hAnsi="Lato"/>
        </w:rPr>
      </w:pPr>
      <w:r w:rsidRPr="00CF32E8">
        <w:rPr>
          <w:rFonts w:ascii="Lato" w:hAnsi="Lato"/>
        </w:rPr>
        <w:t>Be creative in how cases are identified – ask nurses for any newly diagnosed hypertensives / diabetics</w:t>
      </w:r>
    </w:p>
    <w:p w14:paraId="20473B35" w14:textId="58924E77" w:rsidR="00462D69" w:rsidRPr="00CF32E8" w:rsidRDefault="00462D69" w:rsidP="00462D69">
      <w:pPr>
        <w:pStyle w:val="ListParagraph"/>
        <w:numPr>
          <w:ilvl w:val="1"/>
          <w:numId w:val="2"/>
        </w:numPr>
        <w:spacing w:after="120"/>
        <w:ind w:left="1077" w:hanging="357"/>
        <w:contextualSpacing w:val="0"/>
        <w:rPr>
          <w:rFonts w:ascii="Lato" w:hAnsi="Lato"/>
          <w:sz w:val="24"/>
          <w:szCs w:val="24"/>
        </w:rPr>
      </w:pPr>
      <w:r w:rsidRPr="00CF32E8">
        <w:rPr>
          <w:color w:val="000000"/>
          <w:sz w:val="24"/>
          <w:szCs w:val="24"/>
        </w:rPr>
        <w:t xml:space="preserve">Whilst follow up from letters might work, </w:t>
      </w:r>
      <w:r w:rsidR="00ED24EE">
        <w:rPr>
          <w:color w:val="000000"/>
          <w:sz w:val="24"/>
          <w:szCs w:val="24"/>
        </w:rPr>
        <w:t xml:space="preserve">tell them to </w:t>
      </w:r>
      <w:r w:rsidRPr="00CF32E8">
        <w:rPr>
          <w:color w:val="000000"/>
          <w:sz w:val="24"/>
          <w:szCs w:val="24"/>
        </w:rPr>
        <w:t xml:space="preserve">beware artificially “Creating” a consultation by simply recapping the history and suggested treatment options when these are already in the letter or previous referral. </w:t>
      </w:r>
      <w:r w:rsidR="00ED24EE">
        <w:rPr>
          <w:color w:val="000000"/>
          <w:sz w:val="24"/>
          <w:szCs w:val="24"/>
        </w:rPr>
        <w:t>They need to c</w:t>
      </w:r>
      <w:r w:rsidRPr="00CF32E8">
        <w:rPr>
          <w:color w:val="000000"/>
          <w:sz w:val="24"/>
          <w:szCs w:val="24"/>
        </w:rPr>
        <w:t xml:space="preserve">onsider what is actually “Added” to the patient care by </w:t>
      </w:r>
      <w:r w:rsidR="00ED24EE">
        <w:rPr>
          <w:color w:val="000000"/>
          <w:sz w:val="24"/>
          <w:szCs w:val="24"/>
        </w:rPr>
        <w:t>their</w:t>
      </w:r>
      <w:r w:rsidRPr="00CF32E8">
        <w:rPr>
          <w:color w:val="000000"/>
          <w:sz w:val="24"/>
          <w:szCs w:val="24"/>
        </w:rPr>
        <w:t xml:space="preserve"> contact with them. If a patient has considered the guidance already offered and has made a clear decision, then </w:t>
      </w:r>
      <w:r w:rsidRPr="00CF32E8">
        <w:rPr>
          <w:color w:val="000000"/>
          <w:sz w:val="24"/>
          <w:szCs w:val="24"/>
        </w:rPr>
        <w:lastRenderedPageBreak/>
        <w:t xml:space="preserve">recapping does not add anything, and such a consultation would not provide evidence of skills. </w:t>
      </w:r>
    </w:p>
    <w:p w14:paraId="2D5E0E96" w14:textId="02BCB21F" w:rsidR="00462D69" w:rsidRPr="00CF32E8" w:rsidRDefault="00462D69" w:rsidP="00462D69">
      <w:pPr>
        <w:pStyle w:val="ListParagraph"/>
        <w:numPr>
          <w:ilvl w:val="1"/>
          <w:numId w:val="2"/>
        </w:numPr>
        <w:spacing w:after="120"/>
        <w:ind w:left="1077" w:hanging="357"/>
        <w:contextualSpacing w:val="0"/>
        <w:rPr>
          <w:rFonts w:ascii="Lato" w:hAnsi="Lato"/>
        </w:rPr>
      </w:pPr>
      <w:r w:rsidRPr="00CF32E8">
        <w:rPr>
          <w:rFonts w:ascii="Lato" w:hAnsi="Lato"/>
          <w:color w:val="000000"/>
        </w:rPr>
        <w:t>If a consult</w:t>
      </w:r>
      <w:r w:rsidR="00CF32E8" w:rsidRPr="00CF32E8">
        <w:rPr>
          <w:rFonts w:ascii="Lato" w:hAnsi="Lato"/>
          <w:color w:val="000000"/>
        </w:rPr>
        <w:t>ation</w:t>
      </w:r>
      <w:r w:rsidRPr="00CF32E8">
        <w:rPr>
          <w:rFonts w:ascii="Lato" w:hAnsi="Lato"/>
          <w:color w:val="000000"/>
        </w:rPr>
        <w:t xml:space="preserve"> contains more than one </w:t>
      </w:r>
      <w:r w:rsidR="00CF32E8" w:rsidRPr="00CF32E8">
        <w:rPr>
          <w:rFonts w:ascii="Lato" w:hAnsi="Lato"/>
          <w:color w:val="000000"/>
        </w:rPr>
        <w:t>discrete</w:t>
      </w:r>
      <w:r w:rsidRPr="00CF32E8">
        <w:rPr>
          <w:rFonts w:ascii="Lato" w:hAnsi="Lato"/>
          <w:color w:val="000000"/>
        </w:rPr>
        <w:t xml:space="preserve"> clinical issue</w:t>
      </w:r>
      <w:r w:rsidR="00CF32E8" w:rsidRPr="00CF32E8">
        <w:rPr>
          <w:rFonts w:ascii="Lato" w:hAnsi="Lato"/>
          <w:color w:val="000000"/>
        </w:rPr>
        <w:t>,</w:t>
      </w:r>
      <w:r w:rsidRPr="00CF32E8">
        <w:rPr>
          <w:rFonts w:ascii="Lato" w:hAnsi="Lato"/>
          <w:color w:val="000000"/>
        </w:rPr>
        <w:t xml:space="preserve"> both may be assessed if </w:t>
      </w:r>
      <w:r w:rsidR="00CF32E8" w:rsidRPr="00CF32E8">
        <w:rPr>
          <w:rFonts w:ascii="Lato" w:hAnsi="Lato"/>
          <w:color w:val="000000"/>
        </w:rPr>
        <w:t xml:space="preserve">covered </w:t>
      </w:r>
      <w:r w:rsidRPr="00CF32E8">
        <w:rPr>
          <w:rFonts w:ascii="Lato" w:hAnsi="Lato"/>
          <w:color w:val="000000"/>
        </w:rPr>
        <w:t>within the 10 minutes</w:t>
      </w:r>
      <w:r w:rsidR="00CF32E8" w:rsidRPr="00CF32E8">
        <w:rPr>
          <w:rFonts w:ascii="Lato" w:hAnsi="Lato"/>
          <w:color w:val="000000"/>
        </w:rPr>
        <w:t>, although</w:t>
      </w:r>
      <w:r w:rsidRPr="00CF32E8">
        <w:rPr>
          <w:rFonts w:ascii="Lato" w:hAnsi="Lato"/>
          <w:color w:val="000000"/>
        </w:rPr>
        <w:t xml:space="preserve"> if one might detract from the other</w:t>
      </w:r>
      <w:r w:rsidR="001F65E1">
        <w:rPr>
          <w:rFonts w:ascii="Lato" w:hAnsi="Lato"/>
          <w:color w:val="000000"/>
        </w:rPr>
        <w:t>,</w:t>
      </w:r>
      <w:r w:rsidRPr="00CF32E8">
        <w:rPr>
          <w:rFonts w:ascii="Lato" w:hAnsi="Lato"/>
          <w:color w:val="000000"/>
        </w:rPr>
        <w:t xml:space="preserve"> </w:t>
      </w:r>
      <w:r w:rsidR="00ED24EE">
        <w:rPr>
          <w:rFonts w:ascii="Lato" w:hAnsi="Lato"/>
          <w:color w:val="000000"/>
        </w:rPr>
        <w:t>they</w:t>
      </w:r>
      <w:r w:rsidRPr="00CF32E8">
        <w:rPr>
          <w:rFonts w:ascii="Lato" w:hAnsi="Lato"/>
          <w:color w:val="000000"/>
        </w:rPr>
        <w:t xml:space="preserve"> might consider if this is an appropriate case. </w:t>
      </w:r>
    </w:p>
    <w:bookmarkEnd w:id="1"/>
    <w:p w14:paraId="6FBA5160" w14:textId="506DFB4C" w:rsidR="00F45AD8" w:rsidRPr="00106050" w:rsidRDefault="4B1957CD" w:rsidP="0001450A">
      <w:pPr>
        <w:pStyle w:val="ListParagraph"/>
        <w:numPr>
          <w:ilvl w:val="0"/>
          <w:numId w:val="2"/>
        </w:numPr>
        <w:spacing w:after="120"/>
        <w:ind w:left="357" w:hanging="357"/>
        <w:contextualSpacing w:val="0"/>
        <w:rPr>
          <w:rFonts w:ascii="Lato" w:hAnsi="Lato"/>
        </w:rPr>
      </w:pPr>
      <w:r w:rsidRPr="00106050">
        <w:rPr>
          <w:rFonts w:ascii="Lato" w:hAnsi="Lato"/>
          <w:b/>
          <w:bCs/>
        </w:rPr>
        <w:t xml:space="preserve">BALANCE NUMBERS OF CASES WITH OVERWORK/STRESS </w:t>
      </w:r>
      <w:r w:rsidRPr="00106050">
        <w:rPr>
          <w:rFonts w:ascii="Lato" w:hAnsi="Lato"/>
        </w:rPr>
        <w:t xml:space="preserve">- </w:t>
      </w:r>
      <w:r w:rsidR="328CCDEC" w:rsidRPr="00106050">
        <w:rPr>
          <w:rFonts w:ascii="Lato" w:hAnsi="Lato"/>
        </w:rPr>
        <w:t xml:space="preserve">Make sure that </w:t>
      </w:r>
      <w:r w:rsidR="0061069D" w:rsidRPr="00106050">
        <w:rPr>
          <w:rFonts w:ascii="Lato" w:hAnsi="Lato"/>
        </w:rPr>
        <w:t xml:space="preserve">booked surgeries have </w:t>
      </w:r>
      <w:r w:rsidR="328CCDEC" w:rsidRPr="00106050">
        <w:rPr>
          <w:rFonts w:ascii="Lato" w:hAnsi="Lato"/>
        </w:rPr>
        <w:t>the right balance between enough patients</w:t>
      </w:r>
      <w:r w:rsidR="0061069D" w:rsidRPr="00106050">
        <w:rPr>
          <w:rFonts w:ascii="Lato" w:hAnsi="Lato"/>
        </w:rPr>
        <w:t xml:space="preserve"> </w:t>
      </w:r>
      <w:r w:rsidR="328CCDEC" w:rsidRPr="00106050">
        <w:rPr>
          <w:rFonts w:ascii="Lato" w:hAnsi="Lato"/>
        </w:rPr>
        <w:t xml:space="preserve">to get a breadth of appropriate cases and </w:t>
      </w:r>
      <w:r w:rsidR="0061069D" w:rsidRPr="00106050">
        <w:rPr>
          <w:rFonts w:ascii="Lato" w:hAnsi="Lato"/>
        </w:rPr>
        <w:t xml:space="preserve">the risk of </w:t>
      </w:r>
      <w:r w:rsidR="328CCDEC" w:rsidRPr="00106050">
        <w:rPr>
          <w:rFonts w:ascii="Lato" w:hAnsi="Lato"/>
        </w:rPr>
        <w:t>overloading trainees</w:t>
      </w:r>
      <w:r w:rsidR="1493C7CD" w:rsidRPr="00106050">
        <w:rPr>
          <w:rFonts w:ascii="Lato" w:hAnsi="Lato"/>
        </w:rPr>
        <w:t>. G</w:t>
      </w:r>
      <w:r w:rsidR="328CCDEC" w:rsidRPr="00106050">
        <w:rPr>
          <w:rFonts w:ascii="Lato" w:hAnsi="Lato"/>
        </w:rPr>
        <w:t xml:space="preserve">ive them time </w:t>
      </w:r>
      <w:r w:rsidR="6A8586AF" w:rsidRPr="00106050">
        <w:rPr>
          <w:rFonts w:ascii="Lato" w:hAnsi="Lato"/>
        </w:rPr>
        <w:t xml:space="preserve">and catchups </w:t>
      </w:r>
      <w:r w:rsidR="328CCDEC" w:rsidRPr="00106050">
        <w:rPr>
          <w:rFonts w:ascii="Lato" w:hAnsi="Lato"/>
        </w:rPr>
        <w:t xml:space="preserve">to get </w:t>
      </w:r>
      <w:r w:rsidR="6417799F" w:rsidRPr="00106050">
        <w:rPr>
          <w:rFonts w:ascii="Lato" w:hAnsi="Lato"/>
        </w:rPr>
        <w:t xml:space="preserve">and stay </w:t>
      </w:r>
      <w:r w:rsidR="328CCDEC" w:rsidRPr="00106050">
        <w:rPr>
          <w:rFonts w:ascii="Lato" w:hAnsi="Lato"/>
        </w:rPr>
        <w:t xml:space="preserve">in the right frame of mind for recording </w:t>
      </w:r>
      <w:r w:rsidR="1DAE8EF9" w:rsidRPr="00106050">
        <w:rPr>
          <w:rFonts w:ascii="Lato" w:hAnsi="Lato"/>
        </w:rPr>
        <w:t xml:space="preserve">and </w:t>
      </w:r>
      <w:r w:rsidR="328CCDEC" w:rsidRPr="00106050">
        <w:rPr>
          <w:rFonts w:ascii="Lato" w:hAnsi="Lato"/>
        </w:rPr>
        <w:t>enough time to review notes thoroughly</w:t>
      </w:r>
      <w:r w:rsidR="009038A4" w:rsidRPr="00106050">
        <w:rPr>
          <w:rFonts w:ascii="Lato" w:hAnsi="Lato"/>
        </w:rPr>
        <w:t>.</w:t>
      </w:r>
    </w:p>
    <w:p w14:paraId="51376B1B" w14:textId="028C56B6" w:rsidR="00E0578C" w:rsidRPr="00106050" w:rsidRDefault="00E0578C" w:rsidP="0001450A">
      <w:pPr>
        <w:pStyle w:val="ListParagraph"/>
        <w:numPr>
          <w:ilvl w:val="0"/>
          <w:numId w:val="2"/>
        </w:numPr>
        <w:spacing w:after="120"/>
        <w:ind w:left="357" w:hanging="357"/>
        <w:contextualSpacing w:val="0"/>
        <w:rPr>
          <w:rFonts w:ascii="Lato" w:eastAsiaTheme="minorEastAsia" w:hAnsi="Lato"/>
        </w:rPr>
      </w:pPr>
      <w:r w:rsidRPr="00106050">
        <w:rPr>
          <w:rFonts w:ascii="Lato" w:eastAsia="Calibri" w:hAnsi="Lato" w:cs="Calibri"/>
          <w:b/>
          <w:bCs/>
        </w:rPr>
        <w:t xml:space="preserve">STAY UP TO DATE </w:t>
      </w:r>
      <w:r w:rsidR="008F7A0F" w:rsidRPr="00106050">
        <w:rPr>
          <w:rFonts w:ascii="Lato" w:eastAsia="Calibri" w:hAnsi="Lato" w:cs="Calibri"/>
          <w:b/>
          <w:bCs/>
        </w:rPr>
        <w:t>–</w:t>
      </w:r>
      <w:r w:rsidRPr="00106050">
        <w:rPr>
          <w:rFonts w:ascii="Lato" w:eastAsia="Calibri" w:hAnsi="Lato" w:cs="Calibri"/>
          <w:b/>
          <w:bCs/>
        </w:rPr>
        <w:t xml:space="preserve"> </w:t>
      </w:r>
      <w:r w:rsidR="008F7A0F" w:rsidRPr="00106050">
        <w:rPr>
          <w:rFonts w:ascii="Lato" w:eastAsia="Calibri" w:hAnsi="Lato" w:cs="Calibri"/>
        </w:rPr>
        <w:t xml:space="preserve">You and the trainee should </w:t>
      </w:r>
      <w:r w:rsidRPr="00106050">
        <w:rPr>
          <w:rFonts w:ascii="Lato" w:eastAsia="Calibri" w:hAnsi="Lato" w:cs="Calibri"/>
        </w:rPr>
        <w:t xml:space="preserve">read the </w:t>
      </w:r>
      <w:r w:rsidR="008F7A0F" w:rsidRPr="00106050">
        <w:rPr>
          <w:rFonts w:ascii="Lato" w:eastAsia="Calibri" w:hAnsi="Lato" w:cs="Calibri"/>
        </w:rPr>
        <w:t xml:space="preserve">RCGP </w:t>
      </w:r>
      <w:r w:rsidRPr="00106050">
        <w:rPr>
          <w:rFonts w:ascii="Lato" w:eastAsia="Calibri" w:hAnsi="Lato" w:cs="Calibri"/>
        </w:rPr>
        <w:t>guidance on the website at regular interval</w:t>
      </w:r>
      <w:r w:rsidR="00F95D3B" w:rsidRPr="00106050">
        <w:rPr>
          <w:rFonts w:ascii="Lato" w:eastAsia="Calibri" w:hAnsi="Lato" w:cs="Calibri"/>
        </w:rPr>
        <w:t xml:space="preserve">s; this </w:t>
      </w:r>
      <w:r w:rsidRPr="00106050">
        <w:rPr>
          <w:rFonts w:ascii="Lato" w:eastAsia="Calibri" w:hAnsi="Lato" w:cs="Calibri"/>
        </w:rPr>
        <w:t>is updated very regularly and gives clear advice</w:t>
      </w:r>
      <w:r w:rsidR="00B22DA0" w:rsidRPr="00106050">
        <w:rPr>
          <w:rFonts w:ascii="Lato" w:eastAsia="Calibri" w:hAnsi="Lato" w:cs="Calibri"/>
        </w:rPr>
        <w:t>. Look at 14F help centre for lots of useful advice and also use the help facility as they are very responsive.</w:t>
      </w:r>
    </w:p>
    <w:p w14:paraId="62971BCB" w14:textId="5D318E92" w:rsidR="00F45AD8" w:rsidRPr="00106050" w:rsidRDefault="26A178C3" w:rsidP="0001450A">
      <w:pPr>
        <w:pStyle w:val="ListParagraph"/>
        <w:numPr>
          <w:ilvl w:val="0"/>
          <w:numId w:val="2"/>
        </w:numPr>
        <w:spacing w:after="120"/>
        <w:ind w:left="357" w:hanging="357"/>
        <w:contextualSpacing w:val="0"/>
        <w:rPr>
          <w:rFonts w:ascii="Lato" w:eastAsiaTheme="minorEastAsia" w:hAnsi="Lato"/>
        </w:rPr>
      </w:pPr>
      <w:r w:rsidRPr="00106050">
        <w:rPr>
          <w:rFonts w:ascii="Lato" w:eastAsia="Calibri" w:hAnsi="Lato" w:cs="Calibri"/>
          <w:b/>
          <w:bCs/>
        </w:rPr>
        <w:t>DO NOT DISTURB</w:t>
      </w:r>
      <w:r w:rsidR="0061069D" w:rsidRPr="00106050">
        <w:rPr>
          <w:rFonts w:ascii="Lato" w:eastAsia="Calibri" w:hAnsi="Lato" w:cs="Calibri"/>
          <w:b/>
          <w:bCs/>
        </w:rPr>
        <w:t xml:space="preserve"> </w:t>
      </w:r>
      <w:r w:rsidRPr="00106050">
        <w:rPr>
          <w:rFonts w:ascii="Lato" w:eastAsia="Calibri" w:hAnsi="Lato" w:cs="Calibri"/>
          <w:b/>
          <w:bCs/>
        </w:rPr>
        <w:t xml:space="preserve">- </w:t>
      </w:r>
      <w:r w:rsidRPr="00106050">
        <w:rPr>
          <w:rFonts w:ascii="Lato" w:eastAsia="Calibri" w:hAnsi="Lato" w:cs="Calibri"/>
        </w:rPr>
        <w:t>Make sure that everyone in the practice knows not to interrupt trainees, use do not disturb signs on the door etc.</w:t>
      </w:r>
    </w:p>
    <w:p w14:paraId="556F44A2" w14:textId="21A35B86" w:rsidR="00F45AD8" w:rsidRPr="00106050" w:rsidRDefault="26A178C3" w:rsidP="0001450A">
      <w:pPr>
        <w:pStyle w:val="ListParagraph"/>
        <w:numPr>
          <w:ilvl w:val="0"/>
          <w:numId w:val="2"/>
        </w:numPr>
        <w:spacing w:after="120"/>
        <w:ind w:left="357" w:hanging="357"/>
        <w:contextualSpacing w:val="0"/>
        <w:rPr>
          <w:rFonts w:ascii="Lato" w:eastAsiaTheme="minorEastAsia" w:hAnsi="Lato"/>
          <w:b/>
          <w:bCs/>
        </w:rPr>
      </w:pPr>
      <w:r w:rsidRPr="00106050">
        <w:rPr>
          <w:rFonts w:ascii="Lato" w:eastAsia="Calibri" w:hAnsi="Lato" w:cs="Calibri"/>
          <w:b/>
          <w:bCs/>
        </w:rPr>
        <w:t xml:space="preserve">GET A STOPCLOCK – </w:t>
      </w:r>
      <w:r w:rsidRPr="00106050">
        <w:rPr>
          <w:rFonts w:ascii="Lato" w:eastAsia="Calibri" w:hAnsi="Lato" w:cs="Calibri"/>
        </w:rPr>
        <w:t>something on the desk to help the trainee know how long they’ve been consulting for</w:t>
      </w:r>
      <w:r w:rsidR="000F3371" w:rsidRPr="00106050">
        <w:rPr>
          <w:rFonts w:ascii="Lato" w:eastAsia="Calibri" w:hAnsi="Lato" w:cs="Calibri"/>
        </w:rPr>
        <w:t>.</w:t>
      </w:r>
    </w:p>
    <w:p w14:paraId="7AFBC568" w14:textId="124B60FA" w:rsidR="00F45AD8" w:rsidRPr="00106050" w:rsidRDefault="2F38CCFA" w:rsidP="0001450A">
      <w:pPr>
        <w:pStyle w:val="ListParagraph"/>
        <w:numPr>
          <w:ilvl w:val="0"/>
          <w:numId w:val="2"/>
        </w:numPr>
        <w:spacing w:after="120"/>
        <w:ind w:left="357" w:hanging="357"/>
        <w:contextualSpacing w:val="0"/>
        <w:rPr>
          <w:rFonts w:ascii="Lato" w:hAnsi="Lato"/>
          <w:b/>
          <w:bCs/>
        </w:rPr>
      </w:pPr>
      <w:r w:rsidRPr="00106050">
        <w:rPr>
          <w:rFonts w:ascii="Lato" w:hAnsi="Lato"/>
          <w:b/>
          <w:bCs/>
        </w:rPr>
        <w:t>CONSIDER CRIBSHEETS</w:t>
      </w:r>
      <w:r w:rsidRPr="00106050">
        <w:rPr>
          <w:rFonts w:ascii="Lato" w:hAnsi="Lato"/>
        </w:rPr>
        <w:t xml:space="preserve"> - </w:t>
      </w:r>
      <w:r w:rsidR="00F45AD8" w:rsidRPr="00106050">
        <w:rPr>
          <w:rFonts w:ascii="Lato" w:hAnsi="Lato"/>
        </w:rPr>
        <w:t xml:space="preserve">Suggest trainee </w:t>
      </w:r>
      <w:r w:rsidR="337E3B34" w:rsidRPr="00106050">
        <w:rPr>
          <w:rFonts w:ascii="Lato" w:hAnsi="Lato"/>
        </w:rPr>
        <w:t xml:space="preserve">has </w:t>
      </w:r>
      <w:r w:rsidR="00727EDA" w:rsidRPr="00106050">
        <w:rPr>
          <w:rFonts w:ascii="Lato" w:hAnsi="Lato"/>
        </w:rPr>
        <w:t xml:space="preserve">whatever </w:t>
      </w:r>
      <w:r w:rsidR="337E3B34" w:rsidRPr="00106050">
        <w:rPr>
          <w:rFonts w:ascii="Lato" w:hAnsi="Lato"/>
        </w:rPr>
        <w:t>reminder</w:t>
      </w:r>
      <w:r w:rsidR="00727EDA" w:rsidRPr="00106050">
        <w:rPr>
          <w:rFonts w:ascii="Lato" w:hAnsi="Lato"/>
        </w:rPr>
        <w:t>s they find helpful</w:t>
      </w:r>
      <w:r w:rsidR="008A1ED7" w:rsidRPr="00106050">
        <w:rPr>
          <w:rFonts w:ascii="Lato" w:hAnsi="Lato"/>
        </w:rPr>
        <w:t xml:space="preserve"> </w:t>
      </w:r>
      <w:r w:rsidR="2D8B6FE8" w:rsidRPr="00106050">
        <w:rPr>
          <w:rFonts w:ascii="Lato" w:hAnsi="Lato"/>
        </w:rPr>
        <w:t>next to the phone/computer e.g.</w:t>
      </w:r>
      <w:r w:rsidR="00F45AD8" w:rsidRPr="00106050">
        <w:rPr>
          <w:rFonts w:ascii="Lato" w:hAnsi="Lato"/>
        </w:rPr>
        <w:t xml:space="preserve"> identity check</w:t>
      </w:r>
      <w:r w:rsidR="1BDD4AAB" w:rsidRPr="00106050">
        <w:rPr>
          <w:rFonts w:ascii="Lato" w:hAnsi="Lato"/>
        </w:rPr>
        <w:t xml:space="preserve">, </w:t>
      </w:r>
      <w:r w:rsidR="00F45AD8" w:rsidRPr="00106050">
        <w:rPr>
          <w:rFonts w:ascii="Lato" w:hAnsi="Lato"/>
        </w:rPr>
        <w:t>consent</w:t>
      </w:r>
      <w:r w:rsidR="30049E7F" w:rsidRPr="00106050">
        <w:rPr>
          <w:rFonts w:ascii="Lato" w:hAnsi="Lato"/>
        </w:rPr>
        <w:t xml:space="preserve">, </w:t>
      </w:r>
      <w:r w:rsidR="00910A18" w:rsidRPr="00106050">
        <w:rPr>
          <w:rFonts w:ascii="Lato" w:hAnsi="Lato"/>
        </w:rPr>
        <w:t>intro</w:t>
      </w:r>
      <w:r w:rsidR="062D4879" w:rsidRPr="00106050">
        <w:rPr>
          <w:rFonts w:ascii="Lato" w:hAnsi="Lato"/>
        </w:rPr>
        <w:t xml:space="preserve">, </w:t>
      </w:r>
      <w:r w:rsidR="00BB448B" w:rsidRPr="00106050">
        <w:rPr>
          <w:rFonts w:ascii="Lato" w:hAnsi="Lato"/>
        </w:rPr>
        <w:t>impact</w:t>
      </w:r>
      <w:r w:rsidR="50EAEE94" w:rsidRPr="00106050">
        <w:rPr>
          <w:rFonts w:ascii="Lato" w:hAnsi="Lato"/>
        </w:rPr>
        <w:t xml:space="preserve">, </w:t>
      </w:r>
      <w:r w:rsidR="00FE462C" w:rsidRPr="00106050">
        <w:rPr>
          <w:rFonts w:ascii="Lato" w:hAnsi="Lato"/>
        </w:rPr>
        <w:t>ICE etc</w:t>
      </w:r>
      <w:r w:rsidR="009038A4" w:rsidRPr="00106050">
        <w:rPr>
          <w:rFonts w:ascii="Lato" w:hAnsi="Lato"/>
        </w:rPr>
        <w:t>.</w:t>
      </w:r>
      <w:r w:rsidR="00FE462C" w:rsidRPr="00106050">
        <w:rPr>
          <w:rFonts w:ascii="Lato" w:hAnsi="Lato"/>
        </w:rPr>
        <w:t xml:space="preserve"> to help them cover key points</w:t>
      </w:r>
      <w:r w:rsidR="008A1ED7" w:rsidRPr="00106050">
        <w:rPr>
          <w:rFonts w:ascii="Lato" w:hAnsi="Lato"/>
        </w:rPr>
        <w:t>. Help them avoid this leading to overly structured consultations that don’t ‘flow’</w:t>
      </w:r>
    </w:p>
    <w:p w14:paraId="431A1C87" w14:textId="1782EECC" w:rsidR="00F30910" w:rsidRPr="00106050" w:rsidRDefault="3844A910" w:rsidP="0001450A">
      <w:pPr>
        <w:pStyle w:val="ListParagraph"/>
        <w:numPr>
          <w:ilvl w:val="0"/>
          <w:numId w:val="2"/>
        </w:numPr>
        <w:spacing w:after="120"/>
        <w:ind w:left="357" w:hanging="357"/>
        <w:contextualSpacing w:val="0"/>
        <w:rPr>
          <w:rFonts w:ascii="Lato" w:hAnsi="Lato"/>
          <w:b/>
          <w:bCs/>
        </w:rPr>
      </w:pPr>
      <w:r w:rsidRPr="00106050">
        <w:rPr>
          <w:rFonts w:ascii="Lato" w:hAnsi="Lato"/>
          <w:b/>
          <w:bCs/>
        </w:rPr>
        <w:t xml:space="preserve">MAKE NOTES </w:t>
      </w:r>
      <w:r w:rsidR="00090069" w:rsidRPr="00106050">
        <w:rPr>
          <w:rFonts w:ascii="Lato" w:hAnsi="Lato"/>
          <w:b/>
          <w:bCs/>
        </w:rPr>
        <w:t>–</w:t>
      </w:r>
      <w:r w:rsidRPr="00106050">
        <w:rPr>
          <w:rFonts w:ascii="Lato" w:hAnsi="Lato"/>
          <w:b/>
          <w:bCs/>
        </w:rPr>
        <w:t xml:space="preserve"> </w:t>
      </w:r>
      <w:r w:rsidR="00090069" w:rsidRPr="00106050">
        <w:rPr>
          <w:rFonts w:ascii="Lato" w:hAnsi="Lato"/>
        </w:rPr>
        <w:t xml:space="preserve">Provided it doesn’t impact on the flow </w:t>
      </w:r>
      <w:r w:rsidR="00704A19" w:rsidRPr="00106050">
        <w:rPr>
          <w:rFonts w:ascii="Lato" w:hAnsi="Lato"/>
        </w:rPr>
        <w:t>consultation or rapport building, a</w:t>
      </w:r>
      <w:r w:rsidR="005D0CD5" w:rsidRPr="00106050">
        <w:rPr>
          <w:rFonts w:ascii="Lato" w:hAnsi="Lato"/>
        </w:rPr>
        <w:t xml:space="preserve">dvise trainee to jot </w:t>
      </w:r>
      <w:r w:rsidR="00704A19" w:rsidRPr="00106050">
        <w:rPr>
          <w:rFonts w:ascii="Lato" w:hAnsi="Lato"/>
        </w:rPr>
        <w:t xml:space="preserve">some </w:t>
      </w:r>
      <w:r w:rsidR="005D0CD5" w:rsidRPr="00106050">
        <w:rPr>
          <w:rFonts w:ascii="Lato" w:hAnsi="Lato"/>
        </w:rPr>
        <w:t xml:space="preserve">key words/cues down whilst patient is </w:t>
      </w:r>
      <w:r w:rsidR="001873D3" w:rsidRPr="00106050">
        <w:rPr>
          <w:rFonts w:ascii="Lato" w:hAnsi="Lato"/>
        </w:rPr>
        <w:t>giving their opening statement</w:t>
      </w:r>
      <w:r w:rsidR="00704A19" w:rsidRPr="00106050">
        <w:rPr>
          <w:rFonts w:ascii="Lato" w:hAnsi="Lato"/>
        </w:rPr>
        <w:t xml:space="preserve">. This is perhaps more suitable during telephone consultations. </w:t>
      </w:r>
    </w:p>
    <w:p w14:paraId="614FEF2E" w14:textId="3EC87C9E" w:rsidR="005D0CD5" w:rsidRPr="00106050" w:rsidRDefault="00F30910" w:rsidP="0001450A">
      <w:pPr>
        <w:pStyle w:val="ListParagraph"/>
        <w:numPr>
          <w:ilvl w:val="0"/>
          <w:numId w:val="2"/>
        </w:numPr>
        <w:spacing w:after="120"/>
        <w:ind w:left="357" w:hanging="357"/>
        <w:contextualSpacing w:val="0"/>
        <w:rPr>
          <w:rFonts w:ascii="Lato" w:hAnsi="Lato"/>
          <w:b/>
          <w:bCs/>
        </w:rPr>
      </w:pPr>
      <w:r w:rsidRPr="00106050">
        <w:rPr>
          <w:rFonts w:ascii="Lato" w:hAnsi="Lato"/>
          <w:b/>
          <w:bCs/>
        </w:rPr>
        <w:t xml:space="preserve">AVOID TYPING - </w:t>
      </w:r>
      <w:r w:rsidR="001873D3" w:rsidRPr="00106050">
        <w:rPr>
          <w:rFonts w:ascii="Lato" w:hAnsi="Lato"/>
        </w:rPr>
        <w:t xml:space="preserve">try to avoid </w:t>
      </w:r>
      <w:r w:rsidR="00ED24EE" w:rsidRPr="00106050">
        <w:rPr>
          <w:rFonts w:ascii="Lato" w:hAnsi="Lato"/>
        </w:rPr>
        <w:t>overuse</w:t>
      </w:r>
      <w:r w:rsidR="001873D3" w:rsidRPr="00106050">
        <w:rPr>
          <w:rFonts w:ascii="Lato" w:hAnsi="Lato"/>
        </w:rPr>
        <w:t xml:space="preserve"> of the computer/typing</w:t>
      </w:r>
      <w:r w:rsidR="00D12556" w:rsidRPr="00106050">
        <w:rPr>
          <w:rFonts w:ascii="Lato" w:hAnsi="Lato"/>
        </w:rPr>
        <w:t xml:space="preserve"> as can be distraction from flow of conversation</w:t>
      </w:r>
    </w:p>
    <w:p w14:paraId="0E20F512" w14:textId="43D7C249" w:rsidR="00EB607A" w:rsidRPr="00106050" w:rsidRDefault="00034E76" w:rsidP="0001450A">
      <w:pPr>
        <w:pStyle w:val="ListParagraph"/>
        <w:numPr>
          <w:ilvl w:val="0"/>
          <w:numId w:val="2"/>
        </w:numPr>
        <w:spacing w:after="120"/>
        <w:ind w:left="357" w:hanging="357"/>
        <w:contextualSpacing w:val="0"/>
        <w:rPr>
          <w:rFonts w:ascii="Lato" w:hAnsi="Lato"/>
          <w:b/>
          <w:bCs/>
        </w:rPr>
      </w:pPr>
      <w:r w:rsidRPr="00106050">
        <w:rPr>
          <w:rFonts w:ascii="Lato" w:hAnsi="Lato"/>
          <w:b/>
          <w:bCs/>
        </w:rPr>
        <w:t xml:space="preserve">THE EXAMINER DOESN’T KNOW THE PATIENT - </w:t>
      </w:r>
      <w:r w:rsidR="005A3816" w:rsidRPr="00106050">
        <w:rPr>
          <w:rFonts w:ascii="Lato" w:hAnsi="Lato"/>
        </w:rPr>
        <w:t xml:space="preserve">They can’t see </w:t>
      </w:r>
      <w:r w:rsidR="00EB607A" w:rsidRPr="00106050">
        <w:rPr>
          <w:rFonts w:ascii="Lato" w:hAnsi="Lato"/>
        </w:rPr>
        <w:t>medical records and so are unaware of past medical history, medication, allergies etc. So, if relevant, verbalise them</w:t>
      </w:r>
      <w:r w:rsidRPr="00106050">
        <w:rPr>
          <w:rFonts w:ascii="Lato" w:hAnsi="Lato"/>
        </w:rPr>
        <w:t xml:space="preserve">. </w:t>
      </w:r>
    </w:p>
    <w:p w14:paraId="7BF5DFDE" w14:textId="7F468B5D" w:rsidR="00B9584E" w:rsidRPr="00106050" w:rsidRDefault="00B9584E" w:rsidP="0001450A">
      <w:pPr>
        <w:pStyle w:val="ListParagraph"/>
        <w:numPr>
          <w:ilvl w:val="0"/>
          <w:numId w:val="2"/>
        </w:numPr>
        <w:spacing w:after="120"/>
        <w:ind w:left="357" w:hanging="357"/>
        <w:contextualSpacing w:val="0"/>
        <w:rPr>
          <w:rFonts w:ascii="Lato" w:hAnsi="Lato"/>
          <w:b/>
          <w:bCs/>
        </w:rPr>
      </w:pPr>
      <w:r w:rsidRPr="00106050">
        <w:rPr>
          <w:rFonts w:ascii="Lato" w:hAnsi="Lato"/>
          <w:b/>
          <w:bCs/>
        </w:rPr>
        <w:t>SET BOUNDARIES FOR HELP</w:t>
      </w:r>
      <w:r w:rsidRPr="00106050">
        <w:rPr>
          <w:rFonts w:ascii="Lato" w:hAnsi="Lato"/>
        </w:rPr>
        <w:t xml:space="preserve"> </w:t>
      </w:r>
    </w:p>
    <w:p w14:paraId="7318DC91" w14:textId="77777777" w:rsidR="00897E1D" w:rsidRPr="00106050" w:rsidRDefault="00897E1D" w:rsidP="0001450A">
      <w:pPr>
        <w:pStyle w:val="ListParagraph"/>
        <w:numPr>
          <w:ilvl w:val="1"/>
          <w:numId w:val="2"/>
        </w:numPr>
        <w:spacing w:after="120"/>
        <w:ind w:left="1077" w:hanging="357"/>
        <w:rPr>
          <w:rFonts w:ascii="Lato" w:hAnsi="Lato"/>
          <w:b/>
          <w:bCs/>
        </w:rPr>
      </w:pPr>
      <w:r w:rsidRPr="00106050">
        <w:rPr>
          <w:rFonts w:ascii="Lato" w:hAnsi="Lato"/>
        </w:rPr>
        <w:t xml:space="preserve">This remains their exam to pass, it isn’t a joint submission </w:t>
      </w:r>
    </w:p>
    <w:p w14:paraId="2FA9CD19" w14:textId="6F10EC78" w:rsidR="00B9584E" w:rsidRPr="00106050" w:rsidRDefault="05692328" w:rsidP="0001450A">
      <w:pPr>
        <w:pStyle w:val="ListParagraph"/>
        <w:numPr>
          <w:ilvl w:val="1"/>
          <w:numId w:val="2"/>
        </w:numPr>
        <w:spacing w:after="120"/>
        <w:ind w:left="1077" w:hanging="357"/>
        <w:rPr>
          <w:rFonts w:ascii="Lato" w:hAnsi="Lato"/>
          <w:b/>
          <w:bCs/>
        </w:rPr>
      </w:pPr>
      <w:r w:rsidRPr="00106050">
        <w:rPr>
          <w:rFonts w:ascii="Lato" w:hAnsi="Lato"/>
        </w:rPr>
        <w:t xml:space="preserve">Agree with the trainee how many consultations you are realistically </w:t>
      </w:r>
      <w:r w:rsidR="00B9584E" w:rsidRPr="00106050">
        <w:rPr>
          <w:rFonts w:ascii="Lato" w:hAnsi="Lato"/>
        </w:rPr>
        <w:t xml:space="preserve">going to be </w:t>
      </w:r>
      <w:r w:rsidRPr="00106050">
        <w:rPr>
          <w:rFonts w:ascii="Lato" w:hAnsi="Lato"/>
        </w:rPr>
        <w:t xml:space="preserve">able to </w:t>
      </w:r>
      <w:r w:rsidR="00B9584E" w:rsidRPr="00106050">
        <w:rPr>
          <w:rFonts w:ascii="Lato" w:hAnsi="Lato"/>
        </w:rPr>
        <w:t>review</w:t>
      </w:r>
    </w:p>
    <w:p w14:paraId="3622D76B" w14:textId="78449841" w:rsidR="00B9584E" w:rsidRPr="00106050" w:rsidRDefault="00B9584E" w:rsidP="0001450A">
      <w:pPr>
        <w:pStyle w:val="ListParagraph"/>
        <w:numPr>
          <w:ilvl w:val="1"/>
          <w:numId w:val="2"/>
        </w:numPr>
        <w:spacing w:after="120"/>
        <w:ind w:left="1077" w:hanging="357"/>
        <w:rPr>
          <w:rFonts w:ascii="Lato" w:hAnsi="Lato"/>
          <w:b/>
          <w:bCs/>
        </w:rPr>
      </w:pPr>
      <w:r w:rsidRPr="00106050">
        <w:rPr>
          <w:rFonts w:ascii="Lato" w:hAnsi="Lato"/>
        </w:rPr>
        <w:t xml:space="preserve">Make sure they’ve already reviewed </w:t>
      </w:r>
      <w:r w:rsidR="00B84BC0" w:rsidRPr="00106050">
        <w:rPr>
          <w:rFonts w:ascii="Lato" w:hAnsi="Lato"/>
        </w:rPr>
        <w:t xml:space="preserve">and self-analysed </w:t>
      </w:r>
      <w:r w:rsidRPr="00106050">
        <w:rPr>
          <w:rFonts w:ascii="Lato" w:hAnsi="Lato"/>
        </w:rPr>
        <w:t>the consultation</w:t>
      </w:r>
      <w:r w:rsidR="00FF223A" w:rsidRPr="00106050">
        <w:rPr>
          <w:rFonts w:ascii="Lato" w:hAnsi="Lato"/>
        </w:rPr>
        <w:t xml:space="preserve"> before sharing with you</w:t>
      </w:r>
    </w:p>
    <w:p w14:paraId="2356248D" w14:textId="77777777" w:rsidR="00844F98" w:rsidRPr="00106050" w:rsidRDefault="00B9584E" w:rsidP="0001450A">
      <w:pPr>
        <w:pStyle w:val="ListParagraph"/>
        <w:numPr>
          <w:ilvl w:val="1"/>
          <w:numId w:val="2"/>
        </w:numPr>
        <w:spacing w:after="120"/>
        <w:ind w:left="1077" w:hanging="357"/>
        <w:rPr>
          <w:rFonts w:ascii="Lato" w:hAnsi="Lato"/>
          <w:b/>
          <w:bCs/>
        </w:rPr>
      </w:pPr>
      <w:r w:rsidRPr="00106050">
        <w:rPr>
          <w:rFonts w:ascii="Lato" w:hAnsi="Lato"/>
        </w:rPr>
        <w:t>E</w:t>
      </w:r>
      <w:r w:rsidR="05692328" w:rsidRPr="00106050">
        <w:rPr>
          <w:rFonts w:ascii="Lato" w:hAnsi="Lato"/>
        </w:rPr>
        <w:t xml:space="preserve">ncourage them to be specific about what </w:t>
      </w:r>
      <w:r w:rsidR="0BCA526F" w:rsidRPr="00106050">
        <w:rPr>
          <w:rFonts w:ascii="Lato" w:hAnsi="Lato"/>
        </w:rPr>
        <w:t>questions they have about each consultation</w:t>
      </w:r>
    </w:p>
    <w:p w14:paraId="11DA453F" w14:textId="423E3CFC" w:rsidR="05692328" w:rsidRPr="00106050" w:rsidRDefault="00FF223A" w:rsidP="0001450A">
      <w:pPr>
        <w:pStyle w:val="ListParagraph"/>
        <w:numPr>
          <w:ilvl w:val="1"/>
          <w:numId w:val="2"/>
        </w:numPr>
        <w:spacing w:after="120"/>
        <w:ind w:left="1077" w:hanging="357"/>
        <w:contextualSpacing w:val="0"/>
        <w:rPr>
          <w:rFonts w:ascii="Lato" w:hAnsi="Lato"/>
          <w:b/>
          <w:bCs/>
        </w:rPr>
      </w:pPr>
      <w:r w:rsidRPr="00106050">
        <w:rPr>
          <w:rFonts w:ascii="Lato" w:hAnsi="Lato"/>
        </w:rPr>
        <w:lastRenderedPageBreak/>
        <w:t>S</w:t>
      </w:r>
      <w:r w:rsidR="00844F98" w:rsidRPr="00106050">
        <w:rPr>
          <w:rFonts w:ascii="Lato" w:hAnsi="Lato"/>
        </w:rPr>
        <w:t xml:space="preserve">uggest they </w:t>
      </w:r>
      <w:r w:rsidRPr="00106050">
        <w:rPr>
          <w:rFonts w:ascii="Lato" w:hAnsi="Lato"/>
        </w:rPr>
        <w:t xml:space="preserve">only </w:t>
      </w:r>
      <w:r w:rsidR="138B4B7F" w:rsidRPr="00106050">
        <w:rPr>
          <w:rFonts w:ascii="Lato" w:hAnsi="Lato"/>
        </w:rPr>
        <w:t xml:space="preserve">share recordings that they think </w:t>
      </w:r>
      <w:r w:rsidR="00CD258C" w:rsidRPr="00106050">
        <w:rPr>
          <w:rFonts w:ascii="Lato" w:hAnsi="Lato"/>
        </w:rPr>
        <w:t xml:space="preserve">would ‘pass’ </w:t>
      </w:r>
      <w:r w:rsidR="00C1429B" w:rsidRPr="00106050">
        <w:rPr>
          <w:rFonts w:ascii="Lato" w:hAnsi="Lato"/>
        </w:rPr>
        <w:t xml:space="preserve">or where they identify a competence area(s) which they </w:t>
      </w:r>
      <w:r w:rsidR="009F4852" w:rsidRPr="00106050">
        <w:rPr>
          <w:rFonts w:ascii="Lato" w:hAnsi="Lato"/>
        </w:rPr>
        <w:t>are finding persistently challenging</w:t>
      </w:r>
    </w:p>
    <w:p w14:paraId="275F74E6" w14:textId="32DF6944" w:rsidR="00CD258C" w:rsidRPr="00106050" w:rsidRDefault="00720FB9" w:rsidP="0001450A">
      <w:pPr>
        <w:pStyle w:val="ListParagraph"/>
        <w:numPr>
          <w:ilvl w:val="0"/>
          <w:numId w:val="2"/>
        </w:numPr>
        <w:spacing w:after="120"/>
        <w:ind w:left="357" w:hanging="357"/>
        <w:rPr>
          <w:rFonts w:ascii="Lato" w:hAnsi="Lato"/>
          <w:b/>
          <w:bCs/>
        </w:rPr>
      </w:pPr>
      <w:r w:rsidRPr="00106050">
        <w:rPr>
          <w:rFonts w:ascii="Lato" w:hAnsi="Lato"/>
          <w:b/>
          <w:bCs/>
        </w:rPr>
        <w:t>TEACH THEM HOW TO REVIEW THEIR OWN</w:t>
      </w:r>
      <w:r w:rsidR="00B97B2C" w:rsidRPr="00106050">
        <w:rPr>
          <w:rFonts w:ascii="Lato" w:hAnsi="Lato"/>
        </w:rPr>
        <w:t xml:space="preserve"> </w:t>
      </w:r>
      <w:r w:rsidR="00B84BC0" w:rsidRPr="00106050">
        <w:rPr>
          <w:rFonts w:ascii="Lato" w:hAnsi="Lato"/>
          <w:b/>
          <w:bCs/>
        </w:rPr>
        <w:t>CONSULTATIONS</w:t>
      </w:r>
    </w:p>
    <w:p w14:paraId="3982A872" w14:textId="77777777" w:rsidR="00A05F84" w:rsidRPr="00106050" w:rsidRDefault="00A05F84" w:rsidP="0001450A">
      <w:pPr>
        <w:pStyle w:val="ListParagraph"/>
        <w:numPr>
          <w:ilvl w:val="1"/>
          <w:numId w:val="2"/>
        </w:numPr>
        <w:spacing w:after="120"/>
        <w:ind w:left="1077" w:hanging="357"/>
        <w:rPr>
          <w:rFonts w:ascii="Lato" w:hAnsi="Lato"/>
          <w:b/>
          <w:bCs/>
        </w:rPr>
      </w:pPr>
      <w:r w:rsidRPr="00106050">
        <w:rPr>
          <w:rFonts w:ascii="Lato" w:hAnsi="Lato"/>
        </w:rPr>
        <w:t>Teach them general principles of consultation self-analysis</w:t>
      </w:r>
    </w:p>
    <w:p w14:paraId="381D1584" w14:textId="23F88A6D" w:rsidR="005C23D1" w:rsidRPr="00106050" w:rsidRDefault="00720FB9" w:rsidP="0001450A">
      <w:pPr>
        <w:pStyle w:val="ListParagraph"/>
        <w:numPr>
          <w:ilvl w:val="1"/>
          <w:numId w:val="2"/>
        </w:numPr>
        <w:spacing w:after="120"/>
        <w:ind w:left="1077" w:hanging="357"/>
        <w:rPr>
          <w:rFonts w:ascii="Lato" w:hAnsi="Lato"/>
          <w:b/>
          <w:bCs/>
        </w:rPr>
      </w:pPr>
      <w:r w:rsidRPr="00106050">
        <w:rPr>
          <w:rFonts w:ascii="Lato" w:hAnsi="Lato"/>
        </w:rPr>
        <w:t>Familiarise yourself with the marking scheme</w:t>
      </w:r>
      <w:r w:rsidR="00B97B2C" w:rsidRPr="00106050">
        <w:rPr>
          <w:rFonts w:ascii="Lato" w:hAnsi="Lato"/>
        </w:rPr>
        <w:t xml:space="preserve"> </w:t>
      </w:r>
      <w:r w:rsidR="0293849D" w:rsidRPr="00106050">
        <w:rPr>
          <w:rFonts w:ascii="Lato" w:hAnsi="Lato"/>
        </w:rPr>
        <w:t xml:space="preserve">and grade descriptors </w:t>
      </w:r>
      <w:r w:rsidR="00B97B2C" w:rsidRPr="00106050">
        <w:rPr>
          <w:rFonts w:ascii="Lato" w:hAnsi="Lato"/>
        </w:rPr>
        <w:t>and m</w:t>
      </w:r>
      <w:r w:rsidR="005C23D1" w:rsidRPr="00106050">
        <w:rPr>
          <w:rFonts w:ascii="Lato" w:hAnsi="Lato"/>
        </w:rPr>
        <w:t xml:space="preserve">ark some together with a view to them marking their own </w:t>
      </w:r>
    </w:p>
    <w:p w14:paraId="6B5A5234" w14:textId="4E8AED63" w:rsidR="00CD258C" w:rsidRPr="00106050" w:rsidRDefault="00CD258C" w:rsidP="0001450A">
      <w:pPr>
        <w:pStyle w:val="ListParagraph"/>
        <w:numPr>
          <w:ilvl w:val="1"/>
          <w:numId w:val="2"/>
        </w:numPr>
        <w:spacing w:after="120"/>
        <w:ind w:left="1077" w:hanging="357"/>
        <w:contextualSpacing w:val="0"/>
        <w:rPr>
          <w:rFonts w:ascii="Lato" w:hAnsi="Lato"/>
        </w:rPr>
      </w:pPr>
      <w:r w:rsidRPr="00106050">
        <w:rPr>
          <w:rFonts w:ascii="Lato" w:hAnsi="Lato"/>
        </w:rPr>
        <w:t>Avoid giving scores</w:t>
      </w:r>
      <w:r w:rsidR="002D0A04" w:rsidRPr="00106050">
        <w:rPr>
          <w:rFonts w:ascii="Lato" w:hAnsi="Lato"/>
        </w:rPr>
        <w:t xml:space="preserve">, keep feedback generic in the relevant domains and focus on specifics in terms of observed behaviours, knowledge, decision making etc. </w:t>
      </w:r>
    </w:p>
    <w:p w14:paraId="42C1D0E5" w14:textId="0C13544A" w:rsidR="007A4716" w:rsidRPr="00106050" w:rsidRDefault="007A4716" w:rsidP="0001450A">
      <w:pPr>
        <w:pStyle w:val="ListParagraph"/>
        <w:numPr>
          <w:ilvl w:val="1"/>
          <w:numId w:val="2"/>
        </w:numPr>
        <w:spacing w:after="120"/>
        <w:ind w:left="1077" w:hanging="357"/>
        <w:contextualSpacing w:val="0"/>
        <w:rPr>
          <w:rFonts w:ascii="Lato" w:hAnsi="Lato"/>
        </w:rPr>
      </w:pPr>
      <w:r w:rsidRPr="00106050">
        <w:rPr>
          <w:rFonts w:ascii="Lato" w:hAnsi="Lato"/>
        </w:rPr>
        <w:t>Make sure they understand the guidance on Consent and Examining th</w:t>
      </w:r>
      <w:r w:rsidR="002B360D">
        <w:rPr>
          <w:rFonts w:ascii="Lato" w:hAnsi="Lato"/>
        </w:rPr>
        <w:t>e patient which are available at:</w:t>
      </w:r>
      <w:r w:rsidR="002B360D" w:rsidRPr="002B360D">
        <w:t xml:space="preserve"> </w:t>
      </w:r>
      <w:hyperlink r:id="rId11" w:history="1">
        <w:r w:rsidR="00A75928">
          <w:rPr>
            <w:rStyle w:val="Hyperlink"/>
            <w:rFonts w:ascii="Lato" w:hAnsi="Lato"/>
          </w:rPr>
          <w:t>consent</w:t>
        </w:r>
      </w:hyperlink>
      <w:r w:rsidR="00ED4D54" w:rsidRPr="00982007">
        <w:rPr>
          <w:rFonts w:ascii="Lato" w:hAnsi="Lato"/>
        </w:rPr>
        <w:t>,</w:t>
      </w:r>
      <w:r w:rsidR="00ED4D54" w:rsidRPr="00106050">
        <w:rPr>
          <w:rFonts w:ascii="Lato" w:hAnsi="Lato"/>
        </w:rPr>
        <w:t xml:space="preserve"> </w:t>
      </w:r>
      <w:r w:rsidR="00CF32E8">
        <w:rPr>
          <w:rFonts w:ascii="Lato" w:hAnsi="Lato"/>
        </w:rPr>
        <w:t xml:space="preserve">and the guidance on </w:t>
      </w:r>
      <w:r w:rsidR="00A75928" w:rsidRPr="00CF32E8">
        <w:rPr>
          <w:rFonts w:ascii="Lato" w:hAnsi="Lato"/>
        </w:rPr>
        <w:t xml:space="preserve">intimate examinations </w:t>
      </w:r>
      <w:r w:rsidR="00CF32E8" w:rsidRPr="00CF32E8">
        <w:rPr>
          <w:rFonts w:ascii="Lato" w:hAnsi="Lato"/>
        </w:rPr>
        <w:t xml:space="preserve">which will be published on the </w:t>
      </w:r>
      <w:r w:rsidR="00ED24EE">
        <w:rPr>
          <w:rFonts w:ascii="Lato" w:hAnsi="Lato"/>
        </w:rPr>
        <w:t xml:space="preserve">RCGP </w:t>
      </w:r>
      <w:r w:rsidR="00CF32E8" w:rsidRPr="00CF32E8">
        <w:rPr>
          <w:rFonts w:ascii="Lato" w:hAnsi="Lato"/>
        </w:rPr>
        <w:t>website soon</w:t>
      </w:r>
      <w:r w:rsidR="00A75928" w:rsidRPr="00CF32E8">
        <w:rPr>
          <w:rFonts w:ascii="Lato" w:hAnsi="Lato"/>
        </w:rPr>
        <w:t xml:space="preserve"> </w:t>
      </w:r>
      <w:r w:rsidR="00ED4D54" w:rsidRPr="00106050">
        <w:rPr>
          <w:rFonts w:ascii="Lato" w:hAnsi="Lato"/>
        </w:rPr>
        <w:t>and that if they flout this guidance their submission may not be marked</w:t>
      </w:r>
    </w:p>
    <w:p w14:paraId="149EA7B9" w14:textId="5A261A6E" w:rsidR="00AF4AE5" w:rsidRPr="00106050" w:rsidRDefault="00AF4AE5" w:rsidP="0001450A">
      <w:pPr>
        <w:pStyle w:val="ListParagraph"/>
        <w:numPr>
          <w:ilvl w:val="0"/>
          <w:numId w:val="2"/>
        </w:numPr>
        <w:spacing w:after="120"/>
        <w:ind w:left="357" w:hanging="357"/>
        <w:contextualSpacing w:val="0"/>
        <w:rPr>
          <w:rFonts w:ascii="Lato" w:hAnsi="Lato"/>
          <w:b/>
          <w:bCs/>
        </w:rPr>
      </w:pPr>
      <w:r w:rsidRPr="00106050">
        <w:rPr>
          <w:rFonts w:ascii="Lato" w:hAnsi="Lato"/>
          <w:b/>
          <w:bCs/>
        </w:rPr>
        <w:t xml:space="preserve">BENCHMARK WITH </w:t>
      </w:r>
      <w:r w:rsidR="007A4716" w:rsidRPr="00106050">
        <w:rPr>
          <w:rFonts w:ascii="Lato" w:hAnsi="Lato"/>
          <w:b/>
          <w:bCs/>
        </w:rPr>
        <w:t xml:space="preserve">NON-EXAMINER </w:t>
      </w:r>
      <w:r w:rsidRPr="00106050">
        <w:rPr>
          <w:rFonts w:ascii="Lato" w:hAnsi="Lato"/>
          <w:b/>
          <w:bCs/>
        </w:rPr>
        <w:t>COLLEAGUES</w:t>
      </w:r>
      <w:r w:rsidR="00B97B2C" w:rsidRPr="00106050">
        <w:rPr>
          <w:rFonts w:ascii="Lato" w:hAnsi="Lato"/>
          <w:b/>
          <w:bCs/>
        </w:rPr>
        <w:t xml:space="preserve"> –</w:t>
      </w:r>
      <w:r w:rsidR="00B97B2C" w:rsidRPr="00106050">
        <w:rPr>
          <w:rFonts w:ascii="Lato" w:hAnsi="Lato"/>
        </w:rPr>
        <w:t xml:space="preserve"> </w:t>
      </w:r>
      <w:r w:rsidR="007A4716" w:rsidRPr="00106050">
        <w:rPr>
          <w:rFonts w:ascii="Lato" w:eastAsia="Times New Roman" w:hAnsi="Lato"/>
        </w:rPr>
        <w:t>and refer to national guidelines</w:t>
      </w:r>
      <w:r w:rsidR="007A4716" w:rsidRPr="00106050" w:rsidDel="007A4716">
        <w:rPr>
          <w:rFonts w:ascii="Lato" w:hAnsi="Lato"/>
        </w:rPr>
        <w:t xml:space="preserve"> </w:t>
      </w:r>
      <w:r w:rsidR="007A4716" w:rsidRPr="00106050">
        <w:rPr>
          <w:rFonts w:ascii="Lato" w:hAnsi="Lato"/>
        </w:rPr>
        <w:t>to get a sense of what constitutes a ‘passing’ consultation  (</w:t>
      </w:r>
      <w:r w:rsidR="007A4716" w:rsidRPr="00106050">
        <w:rPr>
          <w:rFonts w:ascii="Lato" w:eastAsia="Times New Roman" w:hAnsi="Lato"/>
        </w:rPr>
        <w:t>CSA examiners are not allowed to get involved with reviewing candidates consultations, and in particular are not allowed to make comments about whether they are good, or likely to be passing consultations</w:t>
      </w:r>
      <w:r w:rsidR="009F4852" w:rsidRPr="00106050">
        <w:rPr>
          <w:rFonts w:ascii="Lato" w:hAnsi="Lato"/>
        </w:rPr>
        <w:t>)</w:t>
      </w:r>
      <w:r w:rsidR="007A4716" w:rsidRPr="00106050">
        <w:rPr>
          <w:rFonts w:ascii="Lato" w:hAnsi="Lato"/>
        </w:rPr>
        <w:t>.</w:t>
      </w:r>
      <w:r w:rsidR="002D0A04" w:rsidRPr="00106050">
        <w:rPr>
          <w:rFonts w:ascii="Lato" w:hAnsi="Lato"/>
        </w:rPr>
        <w:t xml:space="preserve"> </w:t>
      </w:r>
      <w:r w:rsidR="007A4716" w:rsidRPr="00106050">
        <w:rPr>
          <w:rFonts w:ascii="Lato" w:hAnsi="Lato"/>
        </w:rPr>
        <w:t xml:space="preserve"> </w:t>
      </w:r>
    </w:p>
    <w:p w14:paraId="0F3B7A3D" w14:textId="162D4E04" w:rsidR="00AF4AE5" w:rsidRPr="00106050" w:rsidRDefault="00AF4AE5" w:rsidP="0001450A">
      <w:pPr>
        <w:pStyle w:val="ListParagraph"/>
        <w:numPr>
          <w:ilvl w:val="0"/>
          <w:numId w:val="2"/>
        </w:numPr>
        <w:spacing w:after="120"/>
        <w:ind w:left="357" w:hanging="357"/>
        <w:contextualSpacing w:val="0"/>
        <w:rPr>
          <w:rFonts w:ascii="Lato" w:hAnsi="Lato"/>
        </w:rPr>
      </w:pPr>
      <w:r w:rsidRPr="00106050">
        <w:rPr>
          <w:rFonts w:ascii="Lato" w:hAnsi="Lato"/>
          <w:b/>
          <w:bCs/>
        </w:rPr>
        <w:t>DON’T MAKE PROMISES</w:t>
      </w:r>
      <w:r w:rsidR="00765238" w:rsidRPr="00106050">
        <w:rPr>
          <w:rFonts w:ascii="Lato" w:hAnsi="Lato"/>
        </w:rPr>
        <w:t xml:space="preserve"> – You can give general formative feedback to </w:t>
      </w:r>
      <w:r w:rsidR="00086ACC" w:rsidRPr="00106050">
        <w:rPr>
          <w:rFonts w:ascii="Lato" w:hAnsi="Lato"/>
        </w:rPr>
        <w:t>trainees but</w:t>
      </w:r>
      <w:r w:rsidR="00765238" w:rsidRPr="00106050">
        <w:rPr>
          <w:rFonts w:ascii="Lato" w:hAnsi="Lato"/>
        </w:rPr>
        <w:t xml:space="preserve"> avoid saying </w:t>
      </w:r>
      <w:r w:rsidR="00086ACC" w:rsidRPr="00106050">
        <w:rPr>
          <w:rFonts w:ascii="Lato" w:hAnsi="Lato"/>
        </w:rPr>
        <w:t>that consultations are ‘good enough’ or ‘will pass’. You don’t know that, so don’t say it. There is no appeal process so the trainee would have to conclude that you were wrong, not the examiners!</w:t>
      </w:r>
    </w:p>
    <w:p w14:paraId="4272CB30" w14:textId="1EF49672" w:rsidR="002954F7" w:rsidRPr="00106050" w:rsidRDefault="002954F7" w:rsidP="0001450A">
      <w:pPr>
        <w:pStyle w:val="ListParagraph"/>
        <w:numPr>
          <w:ilvl w:val="0"/>
          <w:numId w:val="2"/>
        </w:numPr>
        <w:spacing w:after="120"/>
        <w:ind w:left="357" w:hanging="357"/>
        <w:contextualSpacing w:val="0"/>
        <w:rPr>
          <w:rFonts w:ascii="Lato" w:hAnsi="Lato"/>
          <w:b/>
          <w:bCs/>
        </w:rPr>
      </w:pPr>
      <w:r w:rsidRPr="00106050">
        <w:rPr>
          <w:rFonts w:ascii="Lato" w:hAnsi="Lato"/>
          <w:b/>
          <w:bCs/>
        </w:rPr>
        <w:t xml:space="preserve">REMOVE BARRIERS, </w:t>
      </w:r>
      <w:r w:rsidR="00592501" w:rsidRPr="00106050">
        <w:rPr>
          <w:rFonts w:ascii="Lato" w:hAnsi="Lato"/>
          <w:b/>
          <w:bCs/>
        </w:rPr>
        <w:t xml:space="preserve">BUT </w:t>
      </w:r>
      <w:r w:rsidRPr="00106050">
        <w:rPr>
          <w:rFonts w:ascii="Lato" w:hAnsi="Lato"/>
          <w:b/>
          <w:bCs/>
        </w:rPr>
        <w:t xml:space="preserve">DON’T PUSH THEM OVER THE LINE - </w:t>
      </w:r>
      <w:r w:rsidRPr="00106050">
        <w:rPr>
          <w:rFonts w:ascii="Lato" w:hAnsi="Lato"/>
        </w:rPr>
        <w:t xml:space="preserve">Remember, this is their exam to pass. </w:t>
      </w:r>
      <w:r w:rsidR="000413DD" w:rsidRPr="00106050">
        <w:rPr>
          <w:rFonts w:ascii="Lato" w:hAnsi="Lato"/>
        </w:rPr>
        <w:t xml:space="preserve">Remove every barrier you can to them developing </w:t>
      </w:r>
      <w:r w:rsidR="00331843" w:rsidRPr="00106050">
        <w:rPr>
          <w:rFonts w:ascii="Lato" w:hAnsi="Lato"/>
        </w:rPr>
        <w:t>and demonstrating the skills and knowledge that they need to. But remember, n</w:t>
      </w:r>
      <w:r w:rsidR="000413DD" w:rsidRPr="00106050">
        <w:rPr>
          <w:rFonts w:ascii="Lato" w:hAnsi="Lato"/>
        </w:rPr>
        <w:t>ot everyone is yet at the place where they should pass</w:t>
      </w:r>
      <w:r w:rsidR="00331843" w:rsidRPr="00106050">
        <w:rPr>
          <w:rFonts w:ascii="Lato" w:hAnsi="Lato"/>
        </w:rPr>
        <w:t xml:space="preserve"> and you are doing the trainee a </w:t>
      </w:r>
      <w:r w:rsidR="00E90F18" w:rsidRPr="00106050">
        <w:rPr>
          <w:rFonts w:ascii="Lato" w:hAnsi="Lato"/>
        </w:rPr>
        <w:t>disservice i</w:t>
      </w:r>
      <w:r w:rsidR="76686FA1" w:rsidRPr="00106050">
        <w:rPr>
          <w:rFonts w:ascii="Lato" w:hAnsi="Lato"/>
        </w:rPr>
        <w:t>f</w:t>
      </w:r>
      <w:r w:rsidR="00E90F18" w:rsidRPr="00106050">
        <w:rPr>
          <w:rFonts w:ascii="Lato" w:hAnsi="Lato"/>
        </w:rPr>
        <w:t xml:space="preserve"> they pass when they weren’t truly ready</w:t>
      </w:r>
    </w:p>
    <w:p w14:paraId="3C678D29" w14:textId="77777777" w:rsidR="00C53302" w:rsidRPr="00106050" w:rsidRDefault="00B97B2C" w:rsidP="0001450A">
      <w:pPr>
        <w:pStyle w:val="ListParagraph"/>
        <w:numPr>
          <w:ilvl w:val="0"/>
          <w:numId w:val="2"/>
        </w:numPr>
        <w:spacing w:after="120"/>
        <w:ind w:left="357" w:hanging="357"/>
        <w:contextualSpacing w:val="0"/>
        <w:rPr>
          <w:rFonts w:ascii="Lato" w:hAnsi="Lato"/>
          <w:b/>
          <w:bCs/>
        </w:rPr>
      </w:pPr>
      <w:r w:rsidRPr="00106050">
        <w:rPr>
          <w:rFonts w:ascii="Lato" w:hAnsi="Lato"/>
          <w:b/>
          <w:bCs/>
        </w:rPr>
        <w:t>LOOK AFTER YOURSELF</w:t>
      </w:r>
      <w:r w:rsidRPr="00106050">
        <w:rPr>
          <w:rFonts w:ascii="Lato" w:hAnsi="Lato"/>
        </w:rPr>
        <w:t xml:space="preserve"> – </w:t>
      </w:r>
      <w:r w:rsidR="00B1356E" w:rsidRPr="00106050">
        <w:rPr>
          <w:rFonts w:ascii="Lato" w:hAnsi="Lato"/>
        </w:rPr>
        <w:t>You want your trainees to succeed</w:t>
      </w:r>
      <w:r w:rsidR="00ED7FEA" w:rsidRPr="00106050">
        <w:rPr>
          <w:rFonts w:ascii="Lato" w:hAnsi="Lato"/>
        </w:rPr>
        <w:t xml:space="preserve"> </w:t>
      </w:r>
      <w:r w:rsidR="00897E1D" w:rsidRPr="00106050">
        <w:rPr>
          <w:rFonts w:ascii="Lato" w:hAnsi="Lato"/>
        </w:rPr>
        <w:t xml:space="preserve">but </w:t>
      </w:r>
      <w:r w:rsidR="00E90F18" w:rsidRPr="00106050">
        <w:rPr>
          <w:rFonts w:ascii="Lato" w:hAnsi="Lato"/>
        </w:rPr>
        <w:t xml:space="preserve">acknowledge that </w:t>
      </w:r>
      <w:r w:rsidR="00817C73" w:rsidRPr="00106050">
        <w:rPr>
          <w:rFonts w:ascii="Lato" w:hAnsi="Lato"/>
        </w:rPr>
        <w:t xml:space="preserve">helping them prepare is time-consuming and stressful. </w:t>
      </w:r>
      <w:r w:rsidR="00ED7FEA" w:rsidRPr="00106050">
        <w:rPr>
          <w:rFonts w:ascii="Lato" w:hAnsi="Lato"/>
        </w:rPr>
        <w:t>Make sure that where possible your time is protected</w:t>
      </w:r>
      <w:r w:rsidR="00E90F18" w:rsidRPr="00106050">
        <w:rPr>
          <w:rFonts w:ascii="Lato" w:hAnsi="Lato"/>
        </w:rPr>
        <w:t xml:space="preserve"> and </w:t>
      </w:r>
      <w:r w:rsidR="00ED7FEA" w:rsidRPr="00106050">
        <w:rPr>
          <w:rFonts w:ascii="Lato" w:hAnsi="Lato"/>
        </w:rPr>
        <w:t>negotiate</w:t>
      </w:r>
      <w:r w:rsidR="00E90F18" w:rsidRPr="00106050">
        <w:rPr>
          <w:rFonts w:ascii="Lato" w:hAnsi="Lato"/>
        </w:rPr>
        <w:t xml:space="preserve">d </w:t>
      </w:r>
      <w:r w:rsidR="00ED7FEA" w:rsidRPr="00106050">
        <w:rPr>
          <w:rFonts w:ascii="Lato" w:hAnsi="Lato"/>
        </w:rPr>
        <w:t xml:space="preserve">with your practice to do the review work in </w:t>
      </w:r>
      <w:r w:rsidR="00C95B20" w:rsidRPr="00106050">
        <w:rPr>
          <w:rFonts w:ascii="Lato" w:hAnsi="Lato"/>
        </w:rPr>
        <w:t xml:space="preserve">practice time. </w:t>
      </w:r>
    </w:p>
    <w:p w14:paraId="50DB24F4" w14:textId="02D0CD20" w:rsidR="00C53302" w:rsidRPr="00106050" w:rsidRDefault="00C53302" w:rsidP="0001450A">
      <w:pPr>
        <w:spacing w:after="120"/>
        <w:rPr>
          <w:rFonts w:ascii="Lato" w:hAnsi="Lato"/>
          <w:b/>
          <w:bCs/>
        </w:rPr>
      </w:pPr>
    </w:p>
    <w:p w14:paraId="1F59EBF7" w14:textId="77777777" w:rsidR="00976BAC" w:rsidRPr="00106050" w:rsidRDefault="00976BAC" w:rsidP="00C53302">
      <w:pPr>
        <w:spacing w:after="120"/>
        <w:rPr>
          <w:rFonts w:ascii="Lato" w:hAnsi="Lato"/>
          <w:b/>
          <w:bCs/>
        </w:rPr>
      </w:pPr>
    </w:p>
    <w:p w14:paraId="1FFBFA68" w14:textId="77777777" w:rsidR="0001450A" w:rsidRDefault="0001450A">
      <w:pPr>
        <w:rPr>
          <w:rFonts w:ascii="Lato" w:hAnsi="Lato"/>
          <w:b/>
          <w:bCs/>
        </w:rPr>
      </w:pPr>
      <w:r>
        <w:rPr>
          <w:rFonts w:ascii="Lato" w:hAnsi="Lato"/>
          <w:b/>
          <w:bCs/>
        </w:rPr>
        <w:br w:type="page"/>
      </w:r>
    </w:p>
    <w:p w14:paraId="03C36324" w14:textId="1D9599F4" w:rsidR="00C53302" w:rsidRDefault="00C53302" w:rsidP="00C53302">
      <w:pPr>
        <w:rPr>
          <w:rFonts w:ascii="Lato" w:hAnsi="Lato"/>
        </w:rPr>
      </w:pPr>
      <w:r w:rsidRPr="00106050">
        <w:rPr>
          <w:rFonts w:ascii="Lato" w:hAnsi="Lato"/>
          <w:b/>
          <w:bCs/>
        </w:rPr>
        <w:t xml:space="preserve">APPENDIX 1 - </w:t>
      </w:r>
      <w:r w:rsidRPr="00106050">
        <w:rPr>
          <w:rFonts w:ascii="Lato" w:hAnsi="Lato"/>
        </w:rPr>
        <w:t xml:space="preserve">relationship between the clinical content and the complicating factors specific to the patient when considering which cases to select. Many of the trainee’s best consultations will be in one of the red boxes, and therefore unsuitable for submission. This is explored in greater detail </w:t>
      </w:r>
      <w:r w:rsidR="00CF32E8">
        <w:rPr>
          <w:rFonts w:ascii="Lato" w:hAnsi="Lato"/>
        </w:rPr>
        <w:t>in a document soon to be published on the RCGP website.</w:t>
      </w:r>
    </w:p>
    <w:p w14:paraId="10AC872C" w14:textId="77777777" w:rsidR="0001450A" w:rsidRPr="00106050" w:rsidRDefault="0001450A" w:rsidP="00C53302">
      <w:pPr>
        <w:rPr>
          <w:rFonts w:ascii="Lato" w:hAnsi="Lato"/>
        </w:rPr>
      </w:pPr>
    </w:p>
    <w:tbl>
      <w:tblPr>
        <w:tblStyle w:val="TableGrid1"/>
        <w:tblW w:w="9190" w:type="dxa"/>
        <w:tblLook w:val="04A0" w:firstRow="1" w:lastRow="0" w:firstColumn="1" w:lastColumn="0" w:noHBand="0" w:noVBand="1"/>
      </w:tblPr>
      <w:tblGrid>
        <w:gridCol w:w="1950"/>
        <w:gridCol w:w="2586"/>
        <w:gridCol w:w="2327"/>
        <w:gridCol w:w="2327"/>
      </w:tblGrid>
      <w:tr w:rsidR="00B1004E" w:rsidRPr="00106050" w14:paraId="5195061B" w14:textId="77777777" w:rsidTr="00C53302">
        <w:tc>
          <w:tcPr>
            <w:tcW w:w="1950" w:type="dxa"/>
            <w:tcBorders>
              <w:top w:val="nil"/>
              <w:left w:val="nil"/>
              <w:bottom w:val="nil"/>
              <w:right w:val="single" w:sz="4" w:space="0" w:color="auto"/>
            </w:tcBorders>
            <w:vAlign w:val="center"/>
          </w:tcPr>
          <w:p w14:paraId="42E3031C" w14:textId="77777777" w:rsidR="00B1004E" w:rsidRPr="00106050" w:rsidRDefault="00B1004E" w:rsidP="00B1004E">
            <w:pPr>
              <w:jc w:val="center"/>
              <w:rPr>
                <w:rFonts w:ascii="Lato" w:eastAsia="Calibri" w:hAnsi="Lato" w:cs="Calibri"/>
                <w:sz w:val="24"/>
                <w:szCs w:val="24"/>
              </w:rPr>
            </w:pPr>
          </w:p>
        </w:tc>
        <w:tc>
          <w:tcPr>
            <w:tcW w:w="7240" w:type="dxa"/>
            <w:gridSpan w:val="3"/>
            <w:tcBorders>
              <w:left w:val="single" w:sz="4" w:space="0" w:color="auto"/>
            </w:tcBorders>
            <w:shd w:val="clear" w:color="auto" w:fill="D5DCE4"/>
          </w:tcPr>
          <w:p w14:paraId="19FB1D05" w14:textId="77777777" w:rsidR="00B1004E" w:rsidRPr="00106050" w:rsidRDefault="00B1004E" w:rsidP="00B1004E">
            <w:pPr>
              <w:jc w:val="center"/>
              <w:rPr>
                <w:rFonts w:ascii="Lato" w:eastAsia="Calibri" w:hAnsi="Lato" w:cs="Calibri"/>
                <w:b/>
                <w:bCs/>
                <w:sz w:val="24"/>
                <w:szCs w:val="24"/>
              </w:rPr>
            </w:pPr>
            <w:r w:rsidRPr="00106050">
              <w:rPr>
                <w:rFonts w:ascii="Lato" w:eastAsia="Calibri" w:hAnsi="Lato" w:cs="Calibri"/>
                <w:b/>
                <w:bCs/>
                <w:sz w:val="24"/>
                <w:szCs w:val="24"/>
              </w:rPr>
              <w:t>Complicating Factors (e.g. patient expectations, beliefs, psychological issues, social situation, hidden agendas)</w:t>
            </w:r>
          </w:p>
        </w:tc>
      </w:tr>
      <w:tr w:rsidR="00B1004E" w:rsidRPr="00106050" w14:paraId="5FDEEE42" w14:textId="77777777" w:rsidTr="00C53302">
        <w:tc>
          <w:tcPr>
            <w:tcW w:w="1950" w:type="dxa"/>
            <w:tcBorders>
              <w:top w:val="nil"/>
              <w:left w:val="nil"/>
              <w:bottom w:val="single" w:sz="4" w:space="0" w:color="auto"/>
              <w:right w:val="single" w:sz="4" w:space="0" w:color="auto"/>
            </w:tcBorders>
            <w:vAlign w:val="center"/>
          </w:tcPr>
          <w:p w14:paraId="5D1829FA" w14:textId="77777777" w:rsidR="00B1004E" w:rsidRPr="00106050" w:rsidRDefault="00B1004E" w:rsidP="00B1004E">
            <w:pPr>
              <w:jc w:val="center"/>
              <w:rPr>
                <w:rFonts w:ascii="Lato" w:eastAsia="Calibri" w:hAnsi="Lato" w:cs="Calibri"/>
                <w:sz w:val="24"/>
                <w:szCs w:val="24"/>
              </w:rPr>
            </w:pPr>
          </w:p>
        </w:tc>
        <w:tc>
          <w:tcPr>
            <w:tcW w:w="2586" w:type="dxa"/>
            <w:tcBorders>
              <w:left w:val="single" w:sz="4" w:space="0" w:color="auto"/>
            </w:tcBorders>
            <w:shd w:val="clear" w:color="auto" w:fill="D5DCE4"/>
            <w:vAlign w:val="center"/>
          </w:tcPr>
          <w:p w14:paraId="030F3271" w14:textId="77777777" w:rsidR="00B1004E" w:rsidRPr="00106050" w:rsidRDefault="00B1004E" w:rsidP="00B1004E">
            <w:pPr>
              <w:jc w:val="center"/>
              <w:rPr>
                <w:rFonts w:ascii="Lato" w:eastAsia="Calibri" w:hAnsi="Lato" w:cs="Calibri"/>
                <w:b/>
                <w:bCs/>
                <w:sz w:val="24"/>
                <w:szCs w:val="24"/>
              </w:rPr>
            </w:pPr>
            <w:r w:rsidRPr="00106050">
              <w:rPr>
                <w:rFonts w:ascii="Lato" w:eastAsia="Calibri" w:hAnsi="Lato" w:cs="Calibri"/>
                <w:b/>
                <w:bCs/>
                <w:sz w:val="24"/>
                <w:szCs w:val="24"/>
              </w:rPr>
              <w:t>Multiple factors present</w:t>
            </w:r>
          </w:p>
        </w:tc>
        <w:tc>
          <w:tcPr>
            <w:tcW w:w="2327" w:type="dxa"/>
            <w:shd w:val="clear" w:color="auto" w:fill="D5DCE4"/>
          </w:tcPr>
          <w:p w14:paraId="790ECBA0" w14:textId="77777777" w:rsidR="00B1004E" w:rsidRPr="00106050" w:rsidRDefault="00B1004E" w:rsidP="00B1004E">
            <w:pPr>
              <w:jc w:val="center"/>
              <w:rPr>
                <w:rFonts w:ascii="Lato" w:eastAsia="Calibri" w:hAnsi="Lato" w:cs="Calibri"/>
                <w:b/>
                <w:bCs/>
                <w:sz w:val="24"/>
                <w:szCs w:val="24"/>
              </w:rPr>
            </w:pPr>
            <w:r w:rsidRPr="00106050">
              <w:rPr>
                <w:rFonts w:ascii="Lato" w:eastAsia="Calibri" w:hAnsi="Lato" w:cs="Calibri"/>
                <w:b/>
                <w:bCs/>
                <w:sz w:val="24"/>
                <w:szCs w:val="24"/>
              </w:rPr>
              <w:t>Some factors present</w:t>
            </w:r>
          </w:p>
        </w:tc>
        <w:tc>
          <w:tcPr>
            <w:tcW w:w="2327" w:type="dxa"/>
            <w:shd w:val="clear" w:color="auto" w:fill="D5DCE4"/>
            <w:vAlign w:val="center"/>
          </w:tcPr>
          <w:p w14:paraId="47A6AA45" w14:textId="77777777" w:rsidR="00B1004E" w:rsidRPr="00106050" w:rsidRDefault="00B1004E" w:rsidP="00B1004E">
            <w:pPr>
              <w:jc w:val="center"/>
              <w:rPr>
                <w:rFonts w:ascii="Lato" w:eastAsia="Calibri" w:hAnsi="Lato" w:cs="Calibri"/>
                <w:b/>
                <w:bCs/>
                <w:sz w:val="24"/>
                <w:szCs w:val="24"/>
              </w:rPr>
            </w:pPr>
            <w:r w:rsidRPr="00106050">
              <w:rPr>
                <w:rFonts w:ascii="Lato" w:eastAsia="Calibri" w:hAnsi="Lato" w:cs="Calibri"/>
                <w:b/>
                <w:bCs/>
                <w:sz w:val="24"/>
                <w:szCs w:val="24"/>
              </w:rPr>
              <w:t>Complicating factors absent</w:t>
            </w:r>
          </w:p>
        </w:tc>
      </w:tr>
      <w:tr w:rsidR="00B1004E" w:rsidRPr="00106050" w14:paraId="52110196" w14:textId="77777777" w:rsidTr="00C53302">
        <w:tc>
          <w:tcPr>
            <w:tcW w:w="1950" w:type="dxa"/>
            <w:tcBorders>
              <w:top w:val="single" w:sz="4" w:space="0" w:color="auto"/>
            </w:tcBorders>
            <w:shd w:val="clear" w:color="auto" w:fill="D5DCE4"/>
            <w:vAlign w:val="center"/>
          </w:tcPr>
          <w:p w14:paraId="066747FA" w14:textId="77777777" w:rsidR="00B1004E" w:rsidRPr="00106050" w:rsidRDefault="00B1004E" w:rsidP="00B1004E">
            <w:pPr>
              <w:jc w:val="center"/>
              <w:rPr>
                <w:rFonts w:ascii="Lato" w:eastAsia="Calibri" w:hAnsi="Lato" w:cs="Calibri"/>
                <w:b/>
                <w:bCs/>
                <w:sz w:val="24"/>
                <w:szCs w:val="24"/>
              </w:rPr>
            </w:pPr>
            <w:r w:rsidRPr="00106050">
              <w:rPr>
                <w:rFonts w:ascii="Lato" w:eastAsia="Calibri" w:hAnsi="Lato" w:cs="Calibri"/>
                <w:b/>
                <w:bCs/>
                <w:sz w:val="24"/>
                <w:szCs w:val="24"/>
              </w:rPr>
              <w:t>High Clinical Challenge</w:t>
            </w:r>
          </w:p>
        </w:tc>
        <w:tc>
          <w:tcPr>
            <w:tcW w:w="2586" w:type="dxa"/>
            <w:shd w:val="clear" w:color="auto" w:fill="FF6161"/>
            <w:vAlign w:val="center"/>
          </w:tcPr>
          <w:p w14:paraId="4340E7CF"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Extremely challenging consultation – excellent opportunity to display capabilities but case likely to be hard to complete in 10 minutes</w:t>
            </w:r>
          </w:p>
        </w:tc>
        <w:tc>
          <w:tcPr>
            <w:tcW w:w="2327" w:type="dxa"/>
            <w:shd w:val="clear" w:color="auto" w:fill="00FF00"/>
            <w:vAlign w:val="center"/>
          </w:tcPr>
          <w:p w14:paraId="2C09CD90"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Very challenging consultation – excellent opportunity to display capabilities</w:t>
            </w:r>
          </w:p>
        </w:tc>
        <w:tc>
          <w:tcPr>
            <w:tcW w:w="2327" w:type="dxa"/>
            <w:shd w:val="clear" w:color="auto" w:fill="00FF00"/>
            <w:vAlign w:val="center"/>
          </w:tcPr>
          <w:p w14:paraId="0F1FCD3B"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Challenging consultation – good opportunity to display capabilities</w:t>
            </w:r>
          </w:p>
        </w:tc>
      </w:tr>
      <w:tr w:rsidR="00B1004E" w:rsidRPr="00106050" w14:paraId="3F874957" w14:textId="77777777" w:rsidTr="00C53302">
        <w:tc>
          <w:tcPr>
            <w:tcW w:w="1950" w:type="dxa"/>
            <w:shd w:val="clear" w:color="auto" w:fill="D5DCE4"/>
            <w:vAlign w:val="center"/>
          </w:tcPr>
          <w:p w14:paraId="7176B753" w14:textId="77777777" w:rsidR="00B1004E" w:rsidRPr="00106050" w:rsidRDefault="00B1004E" w:rsidP="00B1004E">
            <w:pPr>
              <w:jc w:val="center"/>
              <w:rPr>
                <w:rFonts w:ascii="Lato" w:eastAsia="Calibri" w:hAnsi="Lato" w:cs="Calibri"/>
                <w:b/>
                <w:bCs/>
                <w:sz w:val="24"/>
                <w:szCs w:val="24"/>
              </w:rPr>
            </w:pPr>
            <w:r w:rsidRPr="00106050">
              <w:rPr>
                <w:rFonts w:ascii="Lato" w:eastAsia="Calibri" w:hAnsi="Lato" w:cs="Calibri"/>
                <w:b/>
                <w:bCs/>
                <w:sz w:val="24"/>
                <w:szCs w:val="24"/>
              </w:rPr>
              <w:t>Moderate Clinical Challenge</w:t>
            </w:r>
          </w:p>
        </w:tc>
        <w:tc>
          <w:tcPr>
            <w:tcW w:w="2586" w:type="dxa"/>
            <w:shd w:val="clear" w:color="auto" w:fill="00FF00"/>
            <w:vAlign w:val="center"/>
          </w:tcPr>
          <w:p w14:paraId="7263D134"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Very challenging consultation – excellent opportunity to display capabilities</w:t>
            </w:r>
          </w:p>
        </w:tc>
        <w:tc>
          <w:tcPr>
            <w:tcW w:w="2327" w:type="dxa"/>
            <w:shd w:val="clear" w:color="auto" w:fill="00FF00"/>
            <w:vAlign w:val="center"/>
          </w:tcPr>
          <w:p w14:paraId="7A5DA103"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Challenging consultation – good opportunity to display capabilities</w:t>
            </w:r>
          </w:p>
        </w:tc>
        <w:tc>
          <w:tcPr>
            <w:tcW w:w="2327" w:type="dxa"/>
            <w:shd w:val="clear" w:color="auto" w:fill="FFCC00"/>
            <w:vAlign w:val="center"/>
          </w:tcPr>
          <w:p w14:paraId="74F6EA4C"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Moderate level of challenge in consultation – some opportunity to display capabilities</w:t>
            </w:r>
          </w:p>
        </w:tc>
      </w:tr>
      <w:tr w:rsidR="00B1004E" w:rsidRPr="00106050" w14:paraId="2EAF947E" w14:textId="77777777" w:rsidTr="00C53302">
        <w:tc>
          <w:tcPr>
            <w:tcW w:w="1950" w:type="dxa"/>
            <w:shd w:val="clear" w:color="auto" w:fill="D5DCE4"/>
            <w:vAlign w:val="center"/>
          </w:tcPr>
          <w:p w14:paraId="44155F74" w14:textId="77777777" w:rsidR="00B1004E" w:rsidRPr="00106050" w:rsidRDefault="00B1004E" w:rsidP="00B1004E">
            <w:pPr>
              <w:jc w:val="center"/>
              <w:rPr>
                <w:rFonts w:ascii="Lato" w:eastAsia="Calibri" w:hAnsi="Lato" w:cs="Calibri"/>
                <w:b/>
                <w:bCs/>
                <w:sz w:val="24"/>
                <w:szCs w:val="24"/>
              </w:rPr>
            </w:pPr>
            <w:r w:rsidRPr="00106050">
              <w:rPr>
                <w:rFonts w:ascii="Lato" w:eastAsia="Calibri" w:hAnsi="Lato" w:cs="Calibri"/>
                <w:b/>
                <w:bCs/>
                <w:sz w:val="24"/>
                <w:szCs w:val="24"/>
              </w:rPr>
              <w:t>Low Clinical Challenge</w:t>
            </w:r>
          </w:p>
        </w:tc>
        <w:tc>
          <w:tcPr>
            <w:tcW w:w="2586" w:type="dxa"/>
            <w:shd w:val="clear" w:color="auto" w:fill="00FF00"/>
            <w:vAlign w:val="center"/>
          </w:tcPr>
          <w:p w14:paraId="02FBBE9C" w14:textId="77777777" w:rsidR="00B1004E" w:rsidRPr="00106050" w:rsidRDefault="00B1004E" w:rsidP="00B1004E">
            <w:pPr>
              <w:jc w:val="center"/>
              <w:rPr>
                <w:rFonts w:ascii="Lato" w:eastAsia="Calibri" w:hAnsi="Lato" w:cs="Calibri"/>
                <w:sz w:val="24"/>
                <w:szCs w:val="24"/>
                <w:highlight w:val="green"/>
              </w:rPr>
            </w:pPr>
            <w:r w:rsidRPr="00106050">
              <w:rPr>
                <w:rFonts w:ascii="Lato" w:eastAsia="Calibri" w:hAnsi="Lato" w:cs="Calibri"/>
                <w:sz w:val="24"/>
                <w:szCs w:val="24"/>
              </w:rPr>
              <w:t>Challenging consultation – good opportunity to display capabilities</w:t>
            </w:r>
          </w:p>
        </w:tc>
        <w:tc>
          <w:tcPr>
            <w:tcW w:w="2327" w:type="dxa"/>
            <w:shd w:val="clear" w:color="auto" w:fill="FFCC00"/>
            <w:vAlign w:val="center"/>
          </w:tcPr>
          <w:p w14:paraId="0ECC1581"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Moderate level of challenge in consultation – some opportunity to display capabilities</w:t>
            </w:r>
          </w:p>
        </w:tc>
        <w:tc>
          <w:tcPr>
            <w:tcW w:w="2327" w:type="dxa"/>
            <w:shd w:val="clear" w:color="auto" w:fill="FF6161"/>
            <w:vAlign w:val="center"/>
          </w:tcPr>
          <w:p w14:paraId="4661BD7F"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Low level of challenge in consultation – very limited opportunity to display capabilities (insufficient evidence)</w:t>
            </w:r>
          </w:p>
        </w:tc>
      </w:tr>
    </w:tbl>
    <w:p w14:paraId="7D6E393D" w14:textId="77777777" w:rsidR="00B1004E" w:rsidRPr="00106050" w:rsidRDefault="00B1004E" w:rsidP="0BE3084C">
      <w:pPr>
        <w:rPr>
          <w:rFonts w:ascii="Lato" w:hAnsi="Lato"/>
          <w:b/>
          <w:bCs/>
        </w:rPr>
      </w:pPr>
    </w:p>
    <w:sectPr w:rsidR="00B1004E" w:rsidRPr="0010605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8CCA6" w14:textId="77777777" w:rsidR="00895149" w:rsidRDefault="00895149" w:rsidP="00106050">
      <w:pPr>
        <w:spacing w:after="0" w:line="240" w:lineRule="auto"/>
      </w:pPr>
      <w:r>
        <w:separator/>
      </w:r>
    </w:p>
  </w:endnote>
  <w:endnote w:type="continuationSeparator" w:id="0">
    <w:p w14:paraId="55A74AE0" w14:textId="77777777" w:rsidR="00895149" w:rsidRDefault="00895149" w:rsidP="0010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99C00" w14:textId="77777777" w:rsidR="00895149" w:rsidRDefault="00895149" w:rsidP="00106050">
      <w:pPr>
        <w:spacing w:after="0" w:line="240" w:lineRule="auto"/>
      </w:pPr>
      <w:r>
        <w:separator/>
      </w:r>
    </w:p>
  </w:footnote>
  <w:footnote w:type="continuationSeparator" w:id="0">
    <w:p w14:paraId="207C7073" w14:textId="77777777" w:rsidR="00895149" w:rsidRDefault="00895149" w:rsidP="00106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3A636" w14:textId="3DEA27BC" w:rsidR="00106050" w:rsidRPr="00106050" w:rsidRDefault="00106050" w:rsidP="00106050">
    <w:pPr>
      <w:ind w:right="-688"/>
      <w:jc w:val="right"/>
      <w:rPr>
        <w:rFonts w:ascii="Antique Olive" w:hAnsi="Antique Olive"/>
        <w:b/>
        <w:color w:val="993366"/>
        <w:sz w:val="52"/>
        <w:szCs w:val="52"/>
        <w:u w:val="single"/>
      </w:rPr>
    </w:pPr>
    <w:r w:rsidRPr="00106050">
      <w:rPr>
        <w:rFonts w:ascii="Antique Olive" w:hAnsi="Antique Olive"/>
        <w:b/>
        <w:noProof/>
        <w:color w:val="993366"/>
        <w:sz w:val="52"/>
        <w:szCs w:val="52"/>
        <w:u w:val="single"/>
        <w:lang w:val="en-GB" w:eastAsia="en-GB"/>
      </w:rPr>
      <w:drawing>
        <wp:anchor distT="0" distB="0" distL="114300" distR="114300" simplePos="0" relativeHeight="251658240" behindDoc="1" locked="0" layoutInCell="1" allowOverlap="1" wp14:anchorId="7950C551" wp14:editId="7FD8E6AC">
          <wp:simplePos x="0" y="0"/>
          <wp:positionH relativeFrom="column">
            <wp:posOffset>-632460</wp:posOffset>
          </wp:positionH>
          <wp:positionV relativeFrom="paragraph">
            <wp:posOffset>-22860</wp:posOffset>
          </wp:positionV>
          <wp:extent cx="2708275" cy="855345"/>
          <wp:effectExtent l="0" t="0" r="0" b="1905"/>
          <wp:wrapTight wrapText="bothSides">
            <wp:wrapPolygon edited="0">
              <wp:start x="0" y="0"/>
              <wp:lineTo x="0" y="21167"/>
              <wp:lineTo x="21423" y="21167"/>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8275"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ntique Olive" w:hAnsi="Antique Olive"/>
        <w:b/>
        <w:color w:val="993366"/>
        <w:sz w:val="52"/>
        <w:szCs w:val="52"/>
        <w:u w:val="single"/>
      </w:rPr>
      <w:t>C O G P E D</w:t>
    </w:r>
  </w:p>
  <w:p w14:paraId="66057328" w14:textId="3866BF57" w:rsidR="00106050" w:rsidRPr="00106050" w:rsidRDefault="00106050" w:rsidP="00106050">
    <w:pPr>
      <w:ind w:right="-694"/>
      <w:jc w:val="right"/>
      <w:rPr>
        <w:rFonts w:ascii="Antique Olive" w:hAnsi="Antique Olive" w:cs="Arial"/>
        <w:b/>
        <w:color w:val="993366"/>
      </w:rPr>
    </w:pPr>
    <w:r w:rsidRPr="00A160B7">
      <w:rPr>
        <w:rFonts w:ascii="Antique Olive" w:hAnsi="Antique Olive" w:cs="Arial"/>
        <w:b/>
        <w:color w:val="993366"/>
      </w:rPr>
      <w:t>Comm</w:t>
    </w:r>
    <w:r>
      <w:rPr>
        <w:rFonts w:ascii="Antique Olive" w:hAnsi="Antique Olive" w:cs="Arial"/>
        <w:b/>
        <w:color w:val="993366"/>
      </w:rPr>
      <w:t>ittee of GP Education Directors</w:t>
    </w:r>
  </w:p>
  <w:p w14:paraId="571EA7B0" w14:textId="77777777" w:rsidR="00106050" w:rsidRDefault="00106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920B2"/>
    <w:multiLevelType w:val="hybridMultilevel"/>
    <w:tmpl w:val="7BDE804A"/>
    <w:lvl w:ilvl="0" w:tplc="1218858C">
      <w:start w:val="1"/>
      <w:numFmt w:val="decimal"/>
      <w:lvlText w:val="%1."/>
      <w:lvlJc w:val="left"/>
      <w:pPr>
        <w:ind w:left="644" w:hanging="360"/>
      </w:pPr>
      <w:rPr>
        <w:b/>
        <w:bCs/>
      </w:rPr>
    </w:lvl>
    <w:lvl w:ilvl="1" w:tplc="3D7AF354">
      <w:start w:val="1"/>
      <w:numFmt w:val="lowerLetter"/>
      <w:lvlText w:val="%2."/>
      <w:lvlJc w:val="left"/>
      <w:pPr>
        <w:ind w:left="1364" w:hanging="360"/>
      </w:pPr>
    </w:lvl>
    <w:lvl w:ilvl="2" w:tplc="68F04F46">
      <w:start w:val="1"/>
      <w:numFmt w:val="lowerRoman"/>
      <w:lvlText w:val="%3."/>
      <w:lvlJc w:val="right"/>
      <w:pPr>
        <w:ind w:left="2084" w:hanging="180"/>
      </w:pPr>
    </w:lvl>
    <w:lvl w:ilvl="3" w:tplc="A92C8772">
      <w:start w:val="1"/>
      <w:numFmt w:val="decimal"/>
      <w:lvlText w:val="%4."/>
      <w:lvlJc w:val="left"/>
      <w:pPr>
        <w:ind w:left="2804" w:hanging="360"/>
      </w:pPr>
    </w:lvl>
    <w:lvl w:ilvl="4" w:tplc="848C73F8">
      <w:start w:val="1"/>
      <w:numFmt w:val="lowerLetter"/>
      <w:lvlText w:val="%5."/>
      <w:lvlJc w:val="left"/>
      <w:pPr>
        <w:ind w:left="3524" w:hanging="360"/>
      </w:pPr>
    </w:lvl>
    <w:lvl w:ilvl="5" w:tplc="58C28DD8">
      <w:start w:val="1"/>
      <w:numFmt w:val="lowerRoman"/>
      <w:lvlText w:val="%6."/>
      <w:lvlJc w:val="right"/>
      <w:pPr>
        <w:ind w:left="4244" w:hanging="180"/>
      </w:pPr>
    </w:lvl>
    <w:lvl w:ilvl="6" w:tplc="302EB512">
      <w:start w:val="1"/>
      <w:numFmt w:val="decimal"/>
      <w:lvlText w:val="%7."/>
      <w:lvlJc w:val="left"/>
      <w:pPr>
        <w:ind w:left="4964" w:hanging="360"/>
      </w:pPr>
    </w:lvl>
    <w:lvl w:ilvl="7" w:tplc="F836FA48">
      <w:start w:val="1"/>
      <w:numFmt w:val="lowerLetter"/>
      <w:lvlText w:val="%8."/>
      <w:lvlJc w:val="left"/>
      <w:pPr>
        <w:ind w:left="5684" w:hanging="360"/>
      </w:pPr>
    </w:lvl>
    <w:lvl w:ilvl="8" w:tplc="4A006FC0">
      <w:start w:val="1"/>
      <w:numFmt w:val="lowerRoman"/>
      <w:lvlText w:val="%9."/>
      <w:lvlJc w:val="right"/>
      <w:pPr>
        <w:ind w:left="6404" w:hanging="180"/>
      </w:pPr>
    </w:lvl>
  </w:abstractNum>
  <w:abstractNum w:abstractNumId="1" w15:restartNumberingAfterBreak="0">
    <w:nsid w:val="59751B2F"/>
    <w:multiLevelType w:val="hybridMultilevel"/>
    <w:tmpl w:val="3DD209FA"/>
    <w:lvl w:ilvl="0" w:tplc="18829388">
      <w:start w:val="1"/>
      <w:numFmt w:val="decimal"/>
      <w:lvlText w:val="%1."/>
      <w:lvlJc w:val="left"/>
      <w:pPr>
        <w:ind w:left="720" w:hanging="360"/>
      </w:pPr>
    </w:lvl>
    <w:lvl w:ilvl="1" w:tplc="35F0B46A">
      <w:start w:val="2"/>
      <w:numFmt w:val="lowerLetter"/>
      <w:lvlText w:val="%2."/>
      <w:lvlJc w:val="left"/>
      <w:pPr>
        <w:ind w:left="1440" w:hanging="360"/>
      </w:pPr>
    </w:lvl>
    <w:lvl w:ilvl="2" w:tplc="F73C5DC6">
      <w:start w:val="1"/>
      <w:numFmt w:val="lowerRoman"/>
      <w:lvlText w:val="%3."/>
      <w:lvlJc w:val="right"/>
      <w:pPr>
        <w:ind w:left="2160" w:hanging="180"/>
      </w:pPr>
    </w:lvl>
    <w:lvl w:ilvl="3" w:tplc="02F6DB9A">
      <w:start w:val="1"/>
      <w:numFmt w:val="decimal"/>
      <w:lvlText w:val="%4."/>
      <w:lvlJc w:val="left"/>
      <w:pPr>
        <w:ind w:left="2880" w:hanging="360"/>
      </w:pPr>
    </w:lvl>
    <w:lvl w:ilvl="4" w:tplc="36747476">
      <w:start w:val="1"/>
      <w:numFmt w:val="lowerLetter"/>
      <w:lvlText w:val="%5."/>
      <w:lvlJc w:val="left"/>
      <w:pPr>
        <w:ind w:left="3600" w:hanging="360"/>
      </w:pPr>
    </w:lvl>
    <w:lvl w:ilvl="5" w:tplc="5656A790">
      <w:start w:val="1"/>
      <w:numFmt w:val="lowerRoman"/>
      <w:lvlText w:val="%6."/>
      <w:lvlJc w:val="right"/>
      <w:pPr>
        <w:ind w:left="4320" w:hanging="180"/>
      </w:pPr>
    </w:lvl>
    <w:lvl w:ilvl="6" w:tplc="BA94589A">
      <w:start w:val="1"/>
      <w:numFmt w:val="decimal"/>
      <w:lvlText w:val="%7."/>
      <w:lvlJc w:val="left"/>
      <w:pPr>
        <w:ind w:left="5040" w:hanging="360"/>
      </w:pPr>
    </w:lvl>
    <w:lvl w:ilvl="7" w:tplc="6AB89CF4">
      <w:start w:val="1"/>
      <w:numFmt w:val="lowerLetter"/>
      <w:lvlText w:val="%8."/>
      <w:lvlJc w:val="left"/>
      <w:pPr>
        <w:ind w:left="5760" w:hanging="360"/>
      </w:pPr>
    </w:lvl>
    <w:lvl w:ilvl="8" w:tplc="DB2CE2A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FBBE99"/>
    <w:rsid w:val="0001450A"/>
    <w:rsid w:val="00034E76"/>
    <w:rsid w:val="000355D0"/>
    <w:rsid w:val="000413DD"/>
    <w:rsid w:val="00086ACC"/>
    <w:rsid w:val="00090069"/>
    <w:rsid w:val="000F3371"/>
    <w:rsid w:val="00106050"/>
    <w:rsid w:val="001873D3"/>
    <w:rsid w:val="001A3316"/>
    <w:rsid w:val="001F65E1"/>
    <w:rsid w:val="002357D1"/>
    <w:rsid w:val="002954F7"/>
    <w:rsid w:val="002973BA"/>
    <w:rsid w:val="002B360D"/>
    <w:rsid w:val="002D0A04"/>
    <w:rsid w:val="002F2A5A"/>
    <w:rsid w:val="00331843"/>
    <w:rsid w:val="00462D69"/>
    <w:rsid w:val="005108C2"/>
    <w:rsid w:val="00553C51"/>
    <w:rsid w:val="00567215"/>
    <w:rsid w:val="00587882"/>
    <w:rsid w:val="00592501"/>
    <w:rsid w:val="005A3816"/>
    <w:rsid w:val="005A72D6"/>
    <w:rsid w:val="005C23D1"/>
    <w:rsid w:val="005D0CD5"/>
    <w:rsid w:val="005D1BEF"/>
    <w:rsid w:val="0061069D"/>
    <w:rsid w:val="00690A50"/>
    <w:rsid w:val="006A21EF"/>
    <w:rsid w:val="006F7245"/>
    <w:rsid w:val="00704A19"/>
    <w:rsid w:val="00704D0B"/>
    <w:rsid w:val="007123ED"/>
    <w:rsid w:val="00720FB9"/>
    <w:rsid w:val="00721CB5"/>
    <w:rsid w:val="007230C1"/>
    <w:rsid w:val="00727EDA"/>
    <w:rsid w:val="00765238"/>
    <w:rsid w:val="0076523B"/>
    <w:rsid w:val="007679CB"/>
    <w:rsid w:val="007A4716"/>
    <w:rsid w:val="007A543B"/>
    <w:rsid w:val="008139F3"/>
    <w:rsid w:val="00817C73"/>
    <w:rsid w:val="0082029A"/>
    <w:rsid w:val="00844F98"/>
    <w:rsid w:val="00895149"/>
    <w:rsid w:val="00897E1D"/>
    <w:rsid w:val="008A1ED7"/>
    <w:rsid w:val="008F7A0F"/>
    <w:rsid w:val="009038A4"/>
    <w:rsid w:val="00910A18"/>
    <w:rsid w:val="00976BAC"/>
    <w:rsid w:val="00982007"/>
    <w:rsid w:val="00993841"/>
    <w:rsid w:val="009A78A1"/>
    <w:rsid w:val="009C156A"/>
    <w:rsid w:val="009F4852"/>
    <w:rsid w:val="00A05F84"/>
    <w:rsid w:val="00A207A7"/>
    <w:rsid w:val="00A44FAA"/>
    <w:rsid w:val="00A72B52"/>
    <w:rsid w:val="00A75928"/>
    <w:rsid w:val="00A77CA4"/>
    <w:rsid w:val="00AB1425"/>
    <w:rsid w:val="00AF4AE5"/>
    <w:rsid w:val="00B1004E"/>
    <w:rsid w:val="00B1356E"/>
    <w:rsid w:val="00B22DA0"/>
    <w:rsid w:val="00B66E4B"/>
    <w:rsid w:val="00B84BC0"/>
    <w:rsid w:val="00B9584E"/>
    <w:rsid w:val="00B97B2C"/>
    <w:rsid w:val="00BB448B"/>
    <w:rsid w:val="00C1429B"/>
    <w:rsid w:val="00C53302"/>
    <w:rsid w:val="00C95B20"/>
    <w:rsid w:val="00CB0C3E"/>
    <w:rsid w:val="00CD258C"/>
    <w:rsid w:val="00CE4736"/>
    <w:rsid w:val="00CF1595"/>
    <w:rsid w:val="00CF32E8"/>
    <w:rsid w:val="00D03AC7"/>
    <w:rsid w:val="00D12556"/>
    <w:rsid w:val="00D43EF4"/>
    <w:rsid w:val="00D53B45"/>
    <w:rsid w:val="00D54ABA"/>
    <w:rsid w:val="00DF76B8"/>
    <w:rsid w:val="00E0578C"/>
    <w:rsid w:val="00E31163"/>
    <w:rsid w:val="00E90F18"/>
    <w:rsid w:val="00EB607A"/>
    <w:rsid w:val="00ED24EE"/>
    <w:rsid w:val="00ED4D54"/>
    <w:rsid w:val="00ED7FEA"/>
    <w:rsid w:val="00EF182C"/>
    <w:rsid w:val="00F074DF"/>
    <w:rsid w:val="00F30910"/>
    <w:rsid w:val="00F45AD8"/>
    <w:rsid w:val="00F56DF0"/>
    <w:rsid w:val="00F66EAF"/>
    <w:rsid w:val="00F95D3B"/>
    <w:rsid w:val="00FE462C"/>
    <w:rsid w:val="00FF223A"/>
    <w:rsid w:val="010981C6"/>
    <w:rsid w:val="020B4D87"/>
    <w:rsid w:val="0293849D"/>
    <w:rsid w:val="05692328"/>
    <w:rsid w:val="062D4879"/>
    <w:rsid w:val="0BBAA01C"/>
    <w:rsid w:val="0BCA526F"/>
    <w:rsid w:val="0BE3084C"/>
    <w:rsid w:val="0C04B2F7"/>
    <w:rsid w:val="0C4AD1BC"/>
    <w:rsid w:val="0C92B8B3"/>
    <w:rsid w:val="0DC323C4"/>
    <w:rsid w:val="0F7E7576"/>
    <w:rsid w:val="104FA910"/>
    <w:rsid w:val="116C217F"/>
    <w:rsid w:val="12110AA3"/>
    <w:rsid w:val="138B4B7F"/>
    <w:rsid w:val="1493C7CD"/>
    <w:rsid w:val="180A2908"/>
    <w:rsid w:val="18FB3FD9"/>
    <w:rsid w:val="1A5CDBAD"/>
    <w:rsid w:val="1BDD4AAB"/>
    <w:rsid w:val="1DAE8EF9"/>
    <w:rsid w:val="202BEA64"/>
    <w:rsid w:val="26A178C3"/>
    <w:rsid w:val="2801EC9C"/>
    <w:rsid w:val="28C33B9D"/>
    <w:rsid w:val="2909254C"/>
    <w:rsid w:val="2A38DEF4"/>
    <w:rsid w:val="2C533650"/>
    <w:rsid w:val="2D8B6FE8"/>
    <w:rsid w:val="2E2E4459"/>
    <w:rsid w:val="2F38CCFA"/>
    <w:rsid w:val="30049E7F"/>
    <w:rsid w:val="308946E3"/>
    <w:rsid w:val="328CCDEC"/>
    <w:rsid w:val="337E3B34"/>
    <w:rsid w:val="338F2F5E"/>
    <w:rsid w:val="38066443"/>
    <w:rsid w:val="3844A910"/>
    <w:rsid w:val="3A1AFF0F"/>
    <w:rsid w:val="3AEB7773"/>
    <w:rsid w:val="3B896D47"/>
    <w:rsid w:val="3BCEFBAE"/>
    <w:rsid w:val="3ED244AE"/>
    <w:rsid w:val="3F33693C"/>
    <w:rsid w:val="40A27B0E"/>
    <w:rsid w:val="41022E09"/>
    <w:rsid w:val="4266743E"/>
    <w:rsid w:val="429D7E32"/>
    <w:rsid w:val="4449D9D9"/>
    <w:rsid w:val="49484F45"/>
    <w:rsid w:val="4A57FA38"/>
    <w:rsid w:val="4B1957CD"/>
    <w:rsid w:val="4C07BFBB"/>
    <w:rsid w:val="4C349EEE"/>
    <w:rsid w:val="4E21B2BA"/>
    <w:rsid w:val="50EAEE94"/>
    <w:rsid w:val="514E0B4E"/>
    <w:rsid w:val="52B9EBB3"/>
    <w:rsid w:val="54D5CF62"/>
    <w:rsid w:val="55589075"/>
    <w:rsid w:val="5977B9E6"/>
    <w:rsid w:val="5CC24805"/>
    <w:rsid w:val="5D888F21"/>
    <w:rsid w:val="5ECD4ED2"/>
    <w:rsid w:val="5FFB17B7"/>
    <w:rsid w:val="602FA772"/>
    <w:rsid w:val="63AEE43E"/>
    <w:rsid w:val="6417799F"/>
    <w:rsid w:val="6699345C"/>
    <w:rsid w:val="678D94AC"/>
    <w:rsid w:val="68AFAAC2"/>
    <w:rsid w:val="6932D427"/>
    <w:rsid w:val="69FBBE99"/>
    <w:rsid w:val="6A8586AF"/>
    <w:rsid w:val="6C124D00"/>
    <w:rsid w:val="6CD1777A"/>
    <w:rsid w:val="70287B64"/>
    <w:rsid w:val="707D05F0"/>
    <w:rsid w:val="72719152"/>
    <w:rsid w:val="76686FA1"/>
    <w:rsid w:val="76B04C34"/>
    <w:rsid w:val="77775304"/>
    <w:rsid w:val="7ABB2948"/>
    <w:rsid w:val="7BC6A0FD"/>
    <w:rsid w:val="7C894FAF"/>
    <w:rsid w:val="7F1BD2D8"/>
    <w:rsid w:val="7F248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BE99"/>
  <w15:chartTrackingRefBased/>
  <w15:docId w15:val="{B448F42F-233F-4753-A4FC-832A6234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2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B52"/>
    <w:rPr>
      <w:rFonts w:ascii="Segoe UI" w:hAnsi="Segoe UI" w:cs="Segoe UI"/>
      <w:sz w:val="18"/>
      <w:szCs w:val="18"/>
    </w:rPr>
  </w:style>
  <w:style w:type="table" w:customStyle="1" w:styleId="TableGrid1">
    <w:name w:val="Table Grid1"/>
    <w:basedOn w:val="TableNormal"/>
    <w:next w:val="TableGrid"/>
    <w:uiPriority w:val="39"/>
    <w:rsid w:val="00B100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1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050"/>
  </w:style>
  <w:style w:type="paragraph" w:styleId="Footer">
    <w:name w:val="footer"/>
    <w:basedOn w:val="Normal"/>
    <w:link w:val="FooterChar"/>
    <w:uiPriority w:val="99"/>
    <w:unhideWhenUsed/>
    <w:rsid w:val="00106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050"/>
  </w:style>
  <w:style w:type="character" w:styleId="Hyperlink">
    <w:name w:val="Hyperlink"/>
    <w:basedOn w:val="DefaultParagraphFont"/>
    <w:uiPriority w:val="99"/>
    <w:semiHidden/>
    <w:unhideWhenUsed/>
    <w:rsid w:val="002B360D"/>
    <w:rPr>
      <w:color w:val="0000FF"/>
      <w:u w:val="single"/>
    </w:rPr>
  </w:style>
  <w:style w:type="character" w:styleId="FollowedHyperlink">
    <w:name w:val="FollowedHyperlink"/>
    <w:basedOn w:val="DefaultParagraphFont"/>
    <w:uiPriority w:val="99"/>
    <w:semiHidden/>
    <w:unhideWhenUsed/>
    <w:rsid w:val="0001450A"/>
    <w:rPr>
      <w:color w:val="954F72" w:themeColor="followedHyperlink"/>
      <w:u w:val="single"/>
    </w:rPr>
  </w:style>
  <w:style w:type="paragraph" w:customStyle="1" w:styleId="gmail-msolistparagraph">
    <w:name w:val="gmail-msolistparagraph"/>
    <w:basedOn w:val="Normal"/>
    <w:rsid w:val="00462D69"/>
    <w:pPr>
      <w:spacing w:before="100" w:beforeAutospacing="1" w:after="100" w:afterAutospacing="1" w:line="240" w:lineRule="auto"/>
    </w:pPr>
    <w:rPr>
      <w:rFonts w:ascii="Calibri" w:hAnsi="Calibri" w:cs="Calibri"/>
      <w:lang w:val="en-GB" w:eastAsia="en-GB"/>
    </w:rPr>
  </w:style>
  <w:style w:type="paragraph" w:styleId="NoSpacing">
    <w:name w:val="No Spacing"/>
    <w:uiPriority w:val="1"/>
    <w:qFormat/>
    <w:rsid w:val="00CF3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70694">
      <w:bodyDiv w:val="1"/>
      <w:marLeft w:val="0"/>
      <w:marRight w:val="0"/>
      <w:marTop w:val="0"/>
      <w:marBottom w:val="0"/>
      <w:divBdr>
        <w:top w:val="none" w:sz="0" w:space="0" w:color="auto"/>
        <w:left w:val="none" w:sz="0" w:space="0" w:color="auto"/>
        <w:bottom w:val="none" w:sz="0" w:space="0" w:color="auto"/>
        <w:right w:val="none" w:sz="0" w:space="0" w:color="auto"/>
      </w:divBdr>
    </w:div>
    <w:div w:id="1524830998">
      <w:bodyDiv w:val="1"/>
      <w:marLeft w:val="0"/>
      <w:marRight w:val="0"/>
      <w:marTop w:val="0"/>
      <w:marBottom w:val="0"/>
      <w:divBdr>
        <w:top w:val="none" w:sz="0" w:space="0" w:color="auto"/>
        <w:left w:val="none" w:sz="0" w:space="0" w:color="auto"/>
        <w:bottom w:val="none" w:sz="0" w:space="0" w:color="auto"/>
        <w:right w:val="none" w:sz="0" w:space="0" w:color="auto"/>
      </w:divBdr>
    </w:div>
    <w:div w:id="15568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gp.org.uk/training-exams/mrcgp-exam-overview/-/media/F0C813F4063D4496A5231FD723938AB8.ash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00C23805FAB34DA4398D0650DC65A4" ma:contentTypeVersion="11" ma:contentTypeDescription="Create a new document." ma:contentTypeScope="" ma:versionID="8cb3c1d39f75f10ff3ba349faed871be">
  <xsd:schema xmlns:xsd="http://www.w3.org/2001/XMLSchema" xmlns:xs="http://www.w3.org/2001/XMLSchema" xmlns:p="http://schemas.microsoft.com/office/2006/metadata/properties" xmlns:ns3="9ebc809b-6e0d-4acc-856b-34e01be4d77d" xmlns:ns4="555dc118-0806-45c7-8810-b0e45194ae07" targetNamespace="http://schemas.microsoft.com/office/2006/metadata/properties" ma:root="true" ma:fieldsID="f4c0ca11c4521ac4e45541f76f95bda9" ns3:_="" ns4:_="">
    <xsd:import namespace="9ebc809b-6e0d-4acc-856b-34e01be4d77d"/>
    <xsd:import namespace="555dc118-0806-45c7-8810-b0e45194ae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c809b-6e0d-4acc-856b-34e01be4d7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dc118-0806-45c7-8810-b0e45194ae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5EAE9-FDDA-436B-B3A1-B41218F0856A}">
  <ds:schemaRefs>
    <ds:schemaRef ds:uri="http://schemas.microsoft.com/sharepoint/v3/contenttype/forms"/>
  </ds:schemaRefs>
</ds:datastoreItem>
</file>

<file path=customXml/itemProps2.xml><?xml version="1.0" encoding="utf-8"?>
<ds:datastoreItem xmlns:ds="http://schemas.openxmlformats.org/officeDocument/2006/customXml" ds:itemID="{5E010EE1-0AFC-4857-B302-AD0AE4EC7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c809b-6e0d-4acc-856b-34e01be4d77d"/>
    <ds:schemaRef ds:uri="555dc118-0806-45c7-8810-b0e45194a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EDB01-76D4-4863-9CC3-068E30623D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9D03AC-0EDC-4E21-BF27-68A78D51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Patterson</dc:creator>
  <cp:keywords/>
  <dc:description/>
  <cp:lastModifiedBy>Nick Pendleton</cp:lastModifiedBy>
  <cp:revision>2</cp:revision>
  <cp:lastPrinted>2020-07-30T14:36:00Z</cp:lastPrinted>
  <dcterms:created xsi:type="dcterms:W3CDTF">2020-08-07T09:28:00Z</dcterms:created>
  <dcterms:modified xsi:type="dcterms:W3CDTF">2020-08-07T09:28:00Z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0x0101008800C23805FAB34DA4398D0650DC65A4</vt:lpwstr>
  </property>
</Properties>
</file>